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52A50" w:rsidRPr="00A52A50" w:rsidRDefault="00BB59E6" w:rsidP="00A52A50">
      <w:pPr>
        <w:rPr>
          <w:rFonts w:ascii="SimHei" w:eastAsia="SimHei" w:hAnsi="SimHei" w:cs="SimHei" w:hint="eastAsia"/>
          <w:b/>
          <w:bCs/>
          <w:sz w:val="28"/>
          <w:szCs w:val="28"/>
        </w:rPr>
      </w:pPr>
      <w:r>
        <w:rPr>
          <w:rFonts w:ascii="SimHei" w:eastAsia="SimHei" w:hAnsi="SimHei" w:cs="SimHei" w:hint="eastAsia"/>
          <w:b/>
          <w:bCs/>
          <w:sz w:val="28"/>
          <w:szCs w:val="28"/>
        </w:rPr>
        <w:t>利用BIOQUANT OSTEO发表的骨发育，免疫组化，免疫荧光相关论文</w:t>
      </w:r>
    </w:p>
    <w:p w:rsidR="00BB59E6" w:rsidRDefault="000A60F8" w:rsidP="00BB59E6">
      <w:pPr>
        <w:shd w:val="solid" w:color="FFFFFF" w:fill="auto"/>
        <w:autoSpaceDN w:val="0"/>
        <w:jc w:val="left"/>
        <w:rPr>
          <w:rFonts w:ascii="Arial" w:hAnsi="Arial" w:cs="Arial"/>
          <w:b/>
          <w:color w:val="5064AE"/>
          <w:szCs w:val="21"/>
          <w:shd w:val="clear" w:color="auto" w:fill="FFFFFF"/>
        </w:rPr>
      </w:pPr>
      <w:r>
        <w:rPr>
          <w:rFonts w:ascii="Arial" w:hAnsi="Arial" w:cs="Arial" w:hint="eastAsia"/>
        </w:rPr>
        <w:t>1</w:t>
      </w:r>
      <w:r w:rsidR="00BB59E6">
        <w:rPr>
          <w:rFonts w:ascii="Arial" w:hAnsi="Arial" w:cs="Arial" w:hint="eastAsia"/>
          <w:szCs w:val="21"/>
        </w:rPr>
        <w:t>．</w:t>
      </w:r>
      <w:r w:rsidR="00BB59E6">
        <w:rPr>
          <w:rFonts w:ascii="Arial" w:hAnsi="Arial" w:cs="Arial"/>
          <w:b/>
          <w:color w:val="5064AE"/>
          <w:szCs w:val="21"/>
          <w:shd w:val="clear" w:color="auto" w:fill="FFFFFF"/>
        </w:rPr>
        <w:t>Increased mandibular condylar growth in mice with estrogen receptor beta deficiency</w:t>
      </w:r>
    </w:p>
    <w:p w:rsidR="00BB59E6" w:rsidRDefault="00BB59E6" w:rsidP="00BB59E6">
      <w:pPr>
        <w:shd w:val="solid" w:color="FFFFFF" w:fill="auto"/>
        <w:autoSpaceDN w:val="0"/>
        <w:spacing w:line="285" w:lineRule="atLeast"/>
        <w:jc w:val="left"/>
        <w:rPr>
          <w:rFonts w:ascii="Arial" w:hAnsi="Arial" w:cs="Arial"/>
          <w:b/>
          <w:color w:val="283769"/>
          <w:szCs w:val="21"/>
          <w:shd w:val="clear" w:color="auto" w:fill="FFFFFF"/>
        </w:rPr>
      </w:pPr>
      <w:r>
        <w:rPr>
          <w:rFonts w:ascii="Arial" w:hAnsi="Arial" w:cs="Arial"/>
          <w:b/>
          <w:color w:val="283769"/>
          <w:szCs w:val="21"/>
          <w:shd w:val="clear" w:color="auto" w:fill="FFFFFF"/>
        </w:rPr>
        <w:t>Authors</w:t>
      </w:r>
    </w:p>
    <w:p w:rsidR="00BB59E6" w:rsidRDefault="00BB59E6" w:rsidP="00BB59E6">
      <w:pPr>
        <w:shd w:val="solid" w:color="FFFFFF" w:fill="auto"/>
        <w:autoSpaceDN w:val="0"/>
        <w:spacing w:line="285" w:lineRule="atLeast"/>
        <w:jc w:val="left"/>
        <w:rPr>
          <w:rFonts w:ascii="Arial" w:hAnsi="Arial" w:cs="Arial"/>
          <w:color w:val="283769"/>
          <w:szCs w:val="21"/>
          <w:shd w:val="clear" w:color="auto" w:fill="FFFFFF"/>
        </w:rPr>
      </w:pPr>
      <w:r>
        <w:rPr>
          <w:rFonts w:ascii="Arial" w:hAnsi="Arial" w:cs="Arial"/>
          <w:color w:val="283769"/>
          <w:szCs w:val="21"/>
          <w:shd w:val="clear" w:color="auto" w:fill="FFFFFF"/>
        </w:rPr>
        <w:t>Yosuke Kamiya, Jing Chen, Manshan Xu, Achint Utreja, Thomas Choi, Hicham Drissi, Sunil Wadhwa</w:t>
      </w:r>
    </w:p>
    <w:p w:rsidR="00BB59E6" w:rsidRDefault="00BB59E6" w:rsidP="00BB59E6">
      <w:pPr>
        <w:shd w:val="solid" w:color="FFFFFF" w:fill="auto"/>
        <w:autoSpaceDN w:val="0"/>
        <w:spacing w:line="285" w:lineRule="atLeast"/>
        <w:jc w:val="left"/>
        <w:rPr>
          <w:rFonts w:ascii="Arial" w:hAnsi="Arial" w:cs="Arial"/>
          <w:b/>
          <w:color w:val="283769"/>
          <w:szCs w:val="21"/>
          <w:shd w:val="clear" w:color="auto" w:fill="FFFFFF"/>
        </w:rPr>
      </w:pPr>
      <w:r>
        <w:rPr>
          <w:rFonts w:ascii="Arial" w:hAnsi="Arial" w:cs="Arial"/>
          <w:b/>
          <w:color w:val="283769"/>
          <w:szCs w:val="21"/>
          <w:shd w:val="clear" w:color="auto" w:fill="FFFFFF"/>
        </w:rPr>
        <w:t>Abstract</w:t>
      </w:r>
    </w:p>
    <w:p w:rsidR="00BB59E6" w:rsidRDefault="00BB59E6" w:rsidP="00BB59E6">
      <w:pPr>
        <w:shd w:val="solid" w:color="FFFFFF" w:fill="auto"/>
        <w:autoSpaceDN w:val="0"/>
        <w:spacing w:line="285" w:lineRule="atLeast"/>
        <w:jc w:val="left"/>
        <w:rPr>
          <w:rFonts w:ascii="Arial" w:hAnsi="Arial" w:cs="Arial"/>
          <w:color w:val="283769"/>
          <w:szCs w:val="21"/>
          <w:shd w:val="clear" w:color="auto" w:fill="FFFFFF"/>
        </w:rPr>
      </w:pPr>
      <w:r>
        <w:rPr>
          <w:rFonts w:ascii="Arial" w:hAnsi="Arial" w:cs="Arial"/>
          <w:color w:val="283769"/>
          <w:szCs w:val="21"/>
          <w:shd w:val="clear" w:color="auto" w:fill="FFFFFF"/>
        </w:rPr>
        <w:t>Temporomandibular joint (TMJ) disorders predominantly afflict women of childbearing age, suggesting a role for female hormones in the disease process. In long bones, estrogen acting via estrogen receptor beta (ERβ) inhibits axial skeletal growth in female mice. However, the role of ERβ in the mandibular condyle is largely unknown. We hypothesize that female ERβ deficient mice will have increased mandibular condylar growth compared with wild type (WT) female mice. This study examined female 7-, 49- and 120-day-old WT and ERβ knockout (KO) mice. There was a significant increase in mandibular condylar cartilage thickness, due to an increased number of cells, in the 49- and 120-day-old female ERβ KO compared with WT controls. Analysis in 49-day-old female ERβ KO mice revealed a significant increase in collagen type X, Pthrp and osteoprotegrin gene expression and a significant decrease in Rankl and Ihh gene expression, compared with WT controls. Subchondral bone analysis revealed a significant increase in total condylar volume and a decrease in the number of osteoclasts in the 49-day-old ERβ KO compared with WT female mice. There was no difference in cell proliferation in condylar cartilage between the genotypes. However, there were differences in the expression of proteins that regulate the cell cycle; we found a decrease in the expression of Tieg1 and p57 in the mandibular condylar cartilage from ERβ KO mice compared with WT mice. Taken together, our results suggest that ERβ deficiency increases condylar growth in female mice by inhibiting the fibrocartilage turnover.</w:t>
      </w:r>
    </w:p>
    <w:p w:rsidR="00BB59E6" w:rsidRDefault="00BB59E6" w:rsidP="00BB59E6">
      <w:pPr>
        <w:shd w:val="solid" w:color="FFFFFF" w:fill="auto"/>
        <w:autoSpaceDN w:val="0"/>
        <w:spacing w:line="285" w:lineRule="atLeast"/>
        <w:jc w:val="left"/>
        <w:rPr>
          <w:rFonts w:ascii="Arial" w:hAnsi="Arial" w:cs="Arial"/>
          <w:color w:val="283769"/>
          <w:szCs w:val="21"/>
          <w:shd w:val="clear" w:color="auto" w:fill="FFFFFF"/>
        </w:rPr>
      </w:pPr>
      <w:r>
        <w:rPr>
          <w:rFonts w:ascii="Arial" w:hAnsi="Arial" w:cs="Arial"/>
          <w:b/>
          <w:color w:val="283769"/>
          <w:szCs w:val="21"/>
          <w:shd w:val="clear" w:color="auto" w:fill="FFFFFF"/>
        </w:rPr>
        <w:t>Link to Article</w:t>
      </w:r>
    </w:p>
    <w:p w:rsidR="00BB59E6" w:rsidRDefault="0089244D" w:rsidP="00BB59E6">
      <w:pPr>
        <w:jc w:val="left"/>
        <w:rPr>
          <w:rFonts w:ascii="SimSun" w:hAnsi="SimSun"/>
          <w:sz w:val="24"/>
        </w:rPr>
      </w:pPr>
      <w:hyperlink r:id="rId7" w:history="1">
        <w:r w:rsidR="00BB59E6">
          <w:rPr>
            <w:rFonts w:ascii="Arial" w:hAnsi="Arial" w:cs="Arial"/>
            <w:color w:val="0000FF"/>
            <w:szCs w:val="21"/>
            <w:u w:val="single"/>
          </w:rPr>
          <w:t>http://onlinelibrary.wiley.com/doi/10.1002/jbmr.1835/abstract</w:t>
        </w:r>
      </w:hyperlink>
      <w:r w:rsidR="00BB59E6">
        <w:rPr>
          <w:rFonts w:ascii="SimSun" w:hAnsi="SimSun"/>
          <w:sz w:val="24"/>
        </w:rPr>
        <w:t xml:space="preserve"> </w:t>
      </w:r>
    </w:p>
    <w:p w:rsidR="00BB59E6" w:rsidRDefault="00BB59E6">
      <w:pPr>
        <w:rPr>
          <w:rFonts w:ascii="Arial" w:hAnsi="Arial" w:cs="Arial"/>
        </w:rPr>
      </w:pPr>
    </w:p>
    <w:p w:rsidR="00BB59E6" w:rsidRPr="00BB59E6" w:rsidRDefault="00BB59E6" w:rsidP="00BB59E6">
      <w:pPr>
        <w:shd w:val="solid" w:color="FFFFFF" w:fill="auto"/>
        <w:autoSpaceDN w:val="0"/>
        <w:jc w:val="left"/>
        <w:rPr>
          <w:rFonts w:ascii="Arial" w:hAnsi="Arial" w:cs="Arial"/>
          <w:b/>
          <w:color w:val="5064AE"/>
          <w:szCs w:val="21"/>
          <w:shd w:val="clear" w:color="auto" w:fill="FFFFFF"/>
        </w:rPr>
      </w:pPr>
      <w:r>
        <w:rPr>
          <w:rFonts w:ascii="Arial" w:hAnsi="Arial" w:cs="Arial" w:hint="eastAsia"/>
          <w:b/>
          <w:color w:val="5064AE"/>
          <w:szCs w:val="21"/>
          <w:shd w:val="clear" w:color="auto" w:fill="FFFFFF"/>
        </w:rPr>
        <w:t xml:space="preserve">2.  </w:t>
      </w:r>
      <w:r w:rsidRPr="00BB59E6">
        <w:rPr>
          <w:rFonts w:ascii="Arial" w:hAnsi="Arial" w:cs="Arial"/>
          <w:b/>
          <w:color w:val="5064AE"/>
          <w:szCs w:val="21"/>
          <w:shd w:val="clear" w:color="auto" w:fill="FFFFFF"/>
        </w:rPr>
        <w:t>A comparison of calcium to zoledronic acid for improvement of cortical bone in an animal model of CKD</w:t>
      </w:r>
    </w:p>
    <w:tbl>
      <w:tblPr>
        <w:tblW w:w="0" w:type="auto"/>
        <w:tblCellSpacing w:w="0" w:type="dxa"/>
        <w:tblCellMar>
          <w:top w:w="15" w:type="dxa"/>
          <w:left w:w="15" w:type="dxa"/>
          <w:bottom w:w="15" w:type="dxa"/>
          <w:right w:w="15" w:type="dxa"/>
        </w:tblCellMar>
        <w:tblLook w:val="04A0"/>
      </w:tblPr>
      <w:tblGrid>
        <w:gridCol w:w="8396"/>
      </w:tblGrid>
      <w:tr w:rsidR="00BB59E6" w:rsidRPr="00BB59E6" w:rsidTr="00BB59E6">
        <w:trPr>
          <w:tblCellSpacing w:w="0" w:type="dxa"/>
        </w:trPr>
        <w:tc>
          <w:tcPr>
            <w:tcW w:w="0" w:type="auto"/>
            <w:tcMar>
              <w:top w:w="45" w:type="dxa"/>
              <w:left w:w="45" w:type="dxa"/>
              <w:bottom w:w="45" w:type="dxa"/>
              <w:right w:w="45" w:type="dxa"/>
            </w:tcMar>
            <w:hideMark/>
          </w:tcPr>
          <w:p w:rsidR="00BB59E6" w:rsidRPr="00BB59E6" w:rsidRDefault="00BB59E6" w:rsidP="00BB59E6">
            <w:pPr>
              <w:widowControl/>
              <w:jc w:val="left"/>
              <w:rPr>
                <w:rFonts w:ascii="Arial" w:eastAsia="Times New Roman" w:hAnsi="Arial" w:cs="Arial"/>
                <w:kern w:val="0"/>
                <w:sz w:val="20"/>
              </w:rPr>
            </w:pPr>
            <w:r w:rsidRPr="00BB59E6">
              <w:rPr>
                <w:rFonts w:ascii="Arial" w:eastAsia="Times New Roman" w:hAnsi="Arial" w:cs="Arial"/>
                <w:b/>
                <w:bCs/>
                <w:kern w:val="0"/>
                <w:sz w:val="20"/>
              </w:rPr>
              <w:t>Authors</w:t>
            </w:r>
          </w:p>
          <w:p w:rsidR="00BB59E6" w:rsidRPr="00BB59E6" w:rsidRDefault="00BB59E6" w:rsidP="00BB59E6">
            <w:pPr>
              <w:widowControl/>
              <w:jc w:val="left"/>
              <w:rPr>
                <w:rFonts w:ascii="Arial" w:eastAsia="Times New Roman" w:hAnsi="Arial" w:cs="Arial"/>
                <w:kern w:val="0"/>
                <w:sz w:val="20"/>
              </w:rPr>
            </w:pPr>
            <w:r w:rsidRPr="00BB59E6">
              <w:rPr>
                <w:rFonts w:ascii="Arial" w:eastAsia="Times New Roman" w:hAnsi="Arial" w:cs="Arial"/>
                <w:kern w:val="0"/>
                <w:sz w:val="20"/>
              </w:rPr>
              <w:t>Sharon M. Moe, Neal X. Chen, Christopher L. Newman, Vincent H. Gattone II, Jason M. Organ, Xianming Chen, Matthew R. Allen</w:t>
            </w:r>
          </w:p>
          <w:p w:rsidR="00BB59E6" w:rsidRPr="00BB59E6" w:rsidRDefault="00BB59E6" w:rsidP="00BB59E6">
            <w:pPr>
              <w:widowControl/>
              <w:jc w:val="left"/>
              <w:rPr>
                <w:rFonts w:ascii="Arial" w:eastAsia="Times New Roman" w:hAnsi="Arial" w:cs="Arial"/>
                <w:kern w:val="0"/>
                <w:sz w:val="20"/>
              </w:rPr>
            </w:pPr>
          </w:p>
          <w:p w:rsidR="00BB59E6" w:rsidRPr="00BB59E6" w:rsidRDefault="00BB59E6" w:rsidP="00BB59E6">
            <w:pPr>
              <w:widowControl/>
              <w:jc w:val="left"/>
              <w:rPr>
                <w:rFonts w:ascii="Arial" w:eastAsia="Times New Roman" w:hAnsi="Arial" w:cs="Arial"/>
                <w:kern w:val="0"/>
                <w:sz w:val="20"/>
              </w:rPr>
            </w:pPr>
            <w:r w:rsidRPr="00BB59E6">
              <w:rPr>
                <w:rFonts w:ascii="Arial" w:eastAsia="Times New Roman" w:hAnsi="Arial" w:cs="Arial"/>
                <w:b/>
                <w:bCs/>
                <w:kern w:val="0"/>
                <w:sz w:val="20"/>
              </w:rPr>
              <w:t>Abstract</w:t>
            </w:r>
          </w:p>
          <w:p w:rsidR="00BB59E6" w:rsidRPr="00BB59E6" w:rsidRDefault="00BB59E6" w:rsidP="00BB59E6">
            <w:pPr>
              <w:widowControl/>
              <w:jc w:val="left"/>
              <w:rPr>
                <w:rFonts w:ascii="Arial" w:eastAsia="Times New Roman" w:hAnsi="Arial" w:cs="Arial"/>
                <w:kern w:val="0"/>
                <w:sz w:val="20"/>
              </w:rPr>
            </w:pPr>
            <w:r w:rsidRPr="00BB59E6">
              <w:rPr>
                <w:rFonts w:ascii="Arial" w:eastAsia="Times New Roman" w:hAnsi="Arial" w:cs="Arial"/>
                <w:kern w:val="0"/>
                <w:sz w:val="20"/>
              </w:rPr>
              <w:t xml:space="preserve">Patients with chronic kidney disease (CKD) have increased risk of fractures, yet the optimal treatment is unknown. In secondary analyses of large randomized trials, bisphosphonates have been shown to improve bone mineral density and reduce fractures. However, bisphosphonates are currently not recommended in patients with advanced kidney disease due to concern about over-suppressing bone remodeling, which may increase the risk of developing arterial calcification. In the present study we used a naturally occurring rat model of CKD with secondary hyperparathyroidism, the Cy/+ rat, and compared the efficacy of treatment with </w:t>
            </w:r>
            <w:r w:rsidRPr="00BB59E6">
              <w:rPr>
                <w:rFonts w:ascii="Arial" w:eastAsia="Times New Roman" w:hAnsi="Arial" w:cs="Arial"/>
                <w:kern w:val="0"/>
                <w:sz w:val="20"/>
              </w:rPr>
              <w:lastRenderedPageBreak/>
              <w:t>zoledronic acid, calcium given in water to simulate a phosphate binder, and the combination of calcium and zoledronic acid. Animals were treated beginning at 25 weeks of age (approximately 30% of normal renal function) and followed for ten weeks. The results demonstrate that both zoledronic acid and calcium improved bone volume by microCT and both equally suppressed mineral apposition rate, bone formation rate, and mineralizing surface of trabecular bone. In contrast, only calcium treatment with or without zoledronic acid improved cortical porosity and cortical biomechanical properties (ultimate load and stiffness) and lowered parathyroid hormone (PTH). However, only calcium treatment led to the adverse effects of increased arterial calcification and fibroblast growth factor 23 (FGF23). These results suggest zoledronic acid may improve trabecular bone volume in CKD in the presence of secondary hyperparathyroidism, but does not benefit extraskeletal calcification or cortical biomechanical properties. Calcium effectively reduces PTH and benefits both cortical and trabecular bone yet increases the degree of extra skeletal calcification.</w:t>
            </w:r>
          </w:p>
          <w:p w:rsidR="00BB59E6" w:rsidRPr="00BB59E6" w:rsidRDefault="00BB59E6" w:rsidP="00BB59E6">
            <w:pPr>
              <w:widowControl/>
              <w:jc w:val="left"/>
              <w:rPr>
                <w:rFonts w:ascii="Arial" w:eastAsia="Times New Roman" w:hAnsi="Arial" w:cs="Arial"/>
                <w:kern w:val="0"/>
                <w:sz w:val="20"/>
              </w:rPr>
            </w:pPr>
          </w:p>
          <w:p w:rsidR="00BB59E6" w:rsidRPr="00BB59E6" w:rsidRDefault="00BB59E6" w:rsidP="00BB59E6">
            <w:pPr>
              <w:widowControl/>
              <w:jc w:val="left"/>
              <w:rPr>
                <w:rFonts w:ascii="Arial" w:eastAsia="Times New Roman" w:hAnsi="Arial" w:cs="Arial"/>
                <w:kern w:val="0"/>
                <w:sz w:val="20"/>
              </w:rPr>
            </w:pPr>
            <w:r w:rsidRPr="00BB59E6">
              <w:rPr>
                <w:rFonts w:ascii="Arial" w:eastAsia="Times New Roman" w:hAnsi="Arial" w:cs="Arial"/>
                <w:b/>
                <w:bCs/>
                <w:kern w:val="0"/>
                <w:sz w:val="20"/>
              </w:rPr>
              <w:t>Link to Article</w:t>
            </w:r>
          </w:p>
          <w:p w:rsidR="00BB59E6" w:rsidRDefault="0089244D" w:rsidP="00BB59E6">
            <w:pPr>
              <w:widowControl/>
              <w:jc w:val="left"/>
              <w:rPr>
                <w:rFonts w:ascii="Arial" w:eastAsiaTheme="minorEastAsia" w:hAnsi="Arial" w:cs="Arial"/>
                <w:kern w:val="0"/>
                <w:sz w:val="20"/>
              </w:rPr>
            </w:pPr>
            <w:hyperlink r:id="rId8" w:history="1">
              <w:r w:rsidR="00BB59E6" w:rsidRPr="00BB59E6">
                <w:rPr>
                  <w:rFonts w:ascii="Arial" w:eastAsia="Times New Roman" w:hAnsi="Arial" w:cs="Arial"/>
                  <w:color w:val="445AA9"/>
                  <w:kern w:val="0"/>
                  <w:sz w:val="20"/>
                  <w:u w:val="single"/>
                </w:rPr>
                <w:t>http://dx.doi.org/10.1002/jbmr.2089</w:t>
              </w:r>
            </w:hyperlink>
          </w:p>
          <w:p w:rsidR="00BB59E6" w:rsidRDefault="00BB59E6" w:rsidP="00BB59E6">
            <w:pPr>
              <w:widowControl/>
              <w:jc w:val="left"/>
              <w:rPr>
                <w:rFonts w:ascii="Arial" w:eastAsiaTheme="minorEastAsia" w:hAnsi="Arial" w:cs="Arial"/>
                <w:kern w:val="0"/>
                <w:sz w:val="20"/>
              </w:rPr>
            </w:pPr>
          </w:p>
          <w:p w:rsidR="00BB59E6" w:rsidRPr="00BB59E6" w:rsidRDefault="00BB59E6" w:rsidP="00BB59E6">
            <w:pPr>
              <w:pBdr>
                <w:top w:val="dotted" w:sz="2" w:space="0" w:color="C7C7C7"/>
                <w:left w:val="dotted" w:sz="2" w:space="0" w:color="C7C7C7"/>
                <w:bottom w:val="dotted" w:sz="2" w:space="0" w:color="C7C7C7"/>
                <w:right w:val="dotted" w:sz="2" w:space="0" w:color="C7C7C7"/>
              </w:pBdr>
              <w:spacing w:before="60" w:after="60"/>
              <w:outlineLvl w:val="4"/>
              <w:rPr>
                <w:rFonts w:ascii="Trebuchet MS" w:eastAsia="Times New Roman" w:hAnsi="Trebuchet MS" w:cs="Arial"/>
                <w:b/>
                <w:bCs/>
                <w:color w:val="1A4292"/>
                <w:kern w:val="0"/>
                <w:sz w:val="27"/>
                <w:szCs w:val="27"/>
              </w:rPr>
            </w:pPr>
            <w:r>
              <w:rPr>
                <w:rFonts w:ascii="Arial" w:eastAsiaTheme="minorEastAsia" w:hAnsi="Arial" w:cs="Arial" w:hint="eastAsia"/>
                <w:kern w:val="0"/>
                <w:sz w:val="20"/>
              </w:rPr>
              <w:t>3.</w:t>
            </w:r>
            <w:r>
              <w:rPr>
                <w:rFonts w:ascii="Trebuchet MS" w:hAnsi="Trebuchet MS" w:cs="Arial"/>
                <w:b/>
                <w:bCs/>
                <w:color w:val="1A4292"/>
                <w:sz w:val="27"/>
                <w:szCs w:val="27"/>
              </w:rPr>
              <w:t xml:space="preserve"> </w:t>
            </w:r>
            <w:r w:rsidRPr="00BB59E6">
              <w:rPr>
                <w:rFonts w:ascii="Arial" w:eastAsia="Times New Roman" w:hAnsi="Arial" w:cs="Arial"/>
                <w:b/>
                <w:bCs/>
                <w:color w:val="445AA9"/>
                <w:kern w:val="0"/>
                <w:sz w:val="20"/>
              </w:rPr>
              <w:t>Assessment of epidural versus intradiscal biocompatibility of PEEK implant debris: an in vivo rabbit model</w:t>
            </w:r>
          </w:p>
          <w:tbl>
            <w:tblPr>
              <w:tblW w:w="0" w:type="auto"/>
              <w:tblCellSpacing w:w="0" w:type="dxa"/>
              <w:tblCellMar>
                <w:top w:w="15" w:type="dxa"/>
                <w:left w:w="15" w:type="dxa"/>
                <w:bottom w:w="15" w:type="dxa"/>
                <w:right w:w="15" w:type="dxa"/>
              </w:tblCellMar>
              <w:tblLook w:val="04A0"/>
            </w:tblPr>
            <w:tblGrid>
              <w:gridCol w:w="8306"/>
            </w:tblGrid>
            <w:tr w:rsidR="00BB59E6" w:rsidRPr="00BB59E6" w:rsidTr="00BB59E6">
              <w:trPr>
                <w:tblCellSpacing w:w="0" w:type="dxa"/>
              </w:trPr>
              <w:tc>
                <w:tcPr>
                  <w:tcW w:w="0" w:type="auto"/>
                  <w:tcMar>
                    <w:top w:w="45" w:type="dxa"/>
                    <w:left w:w="45" w:type="dxa"/>
                    <w:bottom w:w="45" w:type="dxa"/>
                    <w:right w:w="45" w:type="dxa"/>
                  </w:tcMar>
                  <w:hideMark/>
                </w:tcPr>
                <w:p w:rsidR="00BB59E6" w:rsidRPr="00BB59E6" w:rsidRDefault="00BB59E6" w:rsidP="00BB59E6">
                  <w:pPr>
                    <w:widowControl/>
                    <w:jc w:val="left"/>
                    <w:rPr>
                      <w:rFonts w:ascii="Arial" w:eastAsia="Times New Roman" w:hAnsi="Arial" w:cs="Arial"/>
                      <w:kern w:val="0"/>
                      <w:sz w:val="20"/>
                    </w:rPr>
                  </w:pPr>
                  <w:r w:rsidRPr="00BB59E6">
                    <w:rPr>
                      <w:rFonts w:ascii="Arial" w:eastAsia="Times New Roman" w:hAnsi="Arial" w:cs="Arial"/>
                      <w:b/>
                      <w:bCs/>
                      <w:kern w:val="0"/>
                      <w:sz w:val="20"/>
                    </w:rPr>
                    <w:t>Authors</w:t>
                  </w:r>
                  <w:r w:rsidRPr="00BB59E6">
                    <w:rPr>
                      <w:rFonts w:ascii="Arial" w:eastAsia="Times New Roman" w:hAnsi="Arial" w:cs="Arial"/>
                      <w:kern w:val="0"/>
                      <w:sz w:val="20"/>
                    </w:rPr>
                    <w:br/>
                    <w:t>Nadim J. Hallab, Qi-Bin Bao, Tim Brown</w:t>
                  </w:r>
                  <w:r w:rsidRPr="00BB59E6">
                    <w:rPr>
                      <w:rFonts w:ascii="Arial" w:eastAsia="Times New Roman" w:hAnsi="Arial" w:cs="Arial"/>
                      <w:kern w:val="0"/>
                      <w:sz w:val="20"/>
                    </w:rPr>
                    <w:br/>
                  </w:r>
                  <w:r w:rsidRPr="00BB59E6">
                    <w:rPr>
                      <w:rFonts w:ascii="Arial" w:eastAsia="Times New Roman" w:hAnsi="Arial" w:cs="Arial"/>
                      <w:kern w:val="0"/>
                      <w:sz w:val="20"/>
                    </w:rPr>
                    <w:br/>
                  </w:r>
                  <w:r w:rsidRPr="00BB59E6">
                    <w:rPr>
                      <w:rFonts w:ascii="Arial" w:eastAsia="Times New Roman" w:hAnsi="Arial" w:cs="Arial"/>
                      <w:b/>
                      <w:bCs/>
                      <w:kern w:val="0"/>
                      <w:sz w:val="20"/>
                    </w:rPr>
                    <w:t>Abstract</w:t>
                  </w:r>
                  <w:r w:rsidRPr="00BB59E6">
                    <w:rPr>
                      <w:rFonts w:ascii="Arial" w:eastAsia="Times New Roman" w:hAnsi="Arial" w:cs="Arial"/>
                      <w:kern w:val="0"/>
                      <w:sz w:val="20"/>
                    </w:rPr>
                    <w:br/>
                    <w:t>Purpose: To understand the relative histopathological effects of PEEK particulate debris when applied within the epidural versus the intervertebral disc space. We hypothesized that due to the avascular nature of the intervertebral disc acting as a barrier to immune cells, the intradiscal response would be less than the epidural response. Methods: The inflammatory effects of clinically relevant doses (3 mg/5-kg rabbit) and sizes (1.15 µm diameter) of PEEK implant debris were assed when placed dry on epidural and intradiscal tissues in an in vivo rabbit model. The size of the particulate was based on wear particulate analysis of wear debris generated from simulator wear testing of PEEK spinal disc arthroplasty devices. Local and systemic gross histology was evaluated at the 3- and 6-month time points. Quantitative immunohistochemistry of local tissues was used to quantify the common inflammatory mediators TNF-α, IL-1β, and IL-6. Results: Both treatments did not alter the normal appearance of the dura mater and vascular structures; however, limited epidural fibrosis was observed. Epidural challenge of PEEK particles resulted in a significant (30 %) increase (p &lt; 0.007) in TNF-α and IL-1β at both 3 and 6 months compared to that of controls, and IL-6 at 6 months (p &lt; 0.0001). Intradiscal challenge of PEEK particles resulted in a significant increase in IL-1β, IL-6 and TNF-α at 6-months post-challenge (p ≤ 0.03). However, overall there were only moderate increases in the relative amount of these cytokines when compared with surgical controls (10–20 %). In contrast, epidural challenge resulted in a 50–100 % increase. Conclusions: The results of this study are similar to past investigations of PEEK, whose results have not been shown to elicit an aggressive immune response. The degree to which these results will translate to the clinical environment remains to be established, but the pattern of subtle elevations in inflammatory cytokines indicated both a mild persistence of responses to PEEK debris, and that intradiscal implant debris will likely result in less inflammation than epidural implant debris.</w:t>
                  </w:r>
                </w:p>
                <w:p w:rsidR="00BB59E6" w:rsidRPr="00BB59E6" w:rsidRDefault="00BB59E6" w:rsidP="00BB59E6">
                  <w:pPr>
                    <w:widowControl/>
                    <w:jc w:val="left"/>
                    <w:rPr>
                      <w:rFonts w:ascii="Arial" w:eastAsia="Times New Roman" w:hAnsi="Arial" w:cs="Arial"/>
                      <w:kern w:val="0"/>
                      <w:sz w:val="20"/>
                    </w:rPr>
                  </w:pPr>
                  <w:r w:rsidRPr="00BB59E6">
                    <w:rPr>
                      <w:rFonts w:ascii="Arial" w:eastAsia="Times New Roman" w:hAnsi="Arial" w:cs="Arial"/>
                      <w:kern w:val="0"/>
                      <w:sz w:val="20"/>
                    </w:rPr>
                    <w:br/>
                  </w:r>
                  <w:r w:rsidRPr="00BB59E6">
                    <w:rPr>
                      <w:rFonts w:ascii="Arial" w:eastAsia="Times New Roman" w:hAnsi="Arial" w:cs="Arial"/>
                      <w:b/>
                      <w:bCs/>
                      <w:kern w:val="0"/>
                      <w:sz w:val="20"/>
                    </w:rPr>
                    <w:t>Link to Article</w:t>
                  </w:r>
                  <w:r w:rsidRPr="00BB59E6">
                    <w:rPr>
                      <w:rFonts w:ascii="Arial" w:eastAsia="Times New Roman" w:hAnsi="Arial" w:cs="Arial"/>
                      <w:kern w:val="0"/>
                      <w:sz w:val="20"/>
                    </w:rPr>
                    <w:br/>
                  </w:r>
                  <w:hyperlink r:id="rId9" w:history="1">
                    <w:r w:rsidRPr="00BB59E6">
                      <w:rPr>
                        <w:rFonts w:ascii="Arial" w:eastAsia="Times New Roman" w:hAnsi="Arial" w:cs="Arial"/>
                        <w:color w:val="445AA9"/>
                        <w:kern w:val="0"/>
                        <w:sz w:val="20"/>
                        <w:u w:val="single"/>
                      </w:rPr>
                      <w:t>http://dx.doi.org/10.1007/s00586-013-2904-4</w:t>
                    </w:r>
                  </w:hyperlink>
                </w:p>
              </w:tc>
            </w:tr>
          </w:tbl>
          <w:p w:rsidR="00BB59E6" w:rsidRPr="00BB59E6" w:rsidRDefault="00BB59E6" w:rsidP="00BB59E6">
            <w:pPr>
              <w:widowControl/>
              <w:jc w:val="left"/>
              <w:rPr>
                <w:rFonts w:ascii="Arial" w:eastAsiaTheme="minorEastAsia" w:hAnsi="Arial" w:cs="Arial"/>
                <w:kern w:val="0"/>
                <w:sz w:val="20"/>
              </w:rPr>
            </w:pPr>
          </w:p>
        </w:tc>
      </w:tr>
    </w:tbl>
    <w:p w:rsidR="00BB59E6" w:rsidRDefault="00BB59E6">
      <w:pPr>
        <w:rPr>
          <w:rFonts w:ascii="Arial" w:hAnsi="Arial" w:cs="Arial"/>
        </w:rPr>
      </w:pPr>
    </w:p>
    <w:p w:rsidR="00BB59E6" w:rsidRDefault="00BB59E6">
      <w:pPr>
        <w:rPr>
          <w:rFonts w:ascii="Arial" w:hAnsi="Arial" w:cs="Arial"/>
        </w:rPr>
      </w:pPr>
    </w:p>
    <w:p w:rsidR="00BB59E6" w:rsidRPr="00E50A7A" w:rsidRDefault="00BB59E6" w:rsidP="00BB59E6">
      <w:pPr>
        <w:pBdr>
          <w:top w:val="dotted" w:sz="2" w:space="0" w:color="C7C7C7"/>
          <w:left w:val="dotted" w:sz="2" w:space="0" w:color="C7C7C7"/>
          <w:bottom w:val="dotted" w:sz="2" w:space="0" w:color="C7C7C7"/>
          <w:right w:val="dotted" w:sz="2" w:space="0" w:color="C7C7C7"/>
        </w:pBdr>
        <w:spacing w:before="60" w:after="60"/>
        <w:outlineLvl w:val="4"/>
        <w:rPr>
          <w:rFonts w:ascii="Trebuchet MS" w:eastAsiaTheme="minorEastAsia" w:hAnsi="Trebuchet MS" w:cs="Arial"/>
          <w:b/>
          <w:bCs/>
          <w:color w:val="1A4292"/>
          <w:kern w:val="0"/>
          <w:sz w:val="27"/>
          <w:szCs w:val="27"/>
        </w:rPr>
      </w:pPr>
      <w:r>
        <w:rPr>
          <w:rFonts w:ascii="Arial" w:hAnsi="Arial" w:cs="Arial" w:hint="eastAsia"/>
        </w:rPr>
        <w:t>4.</w:t>
      </w:r>
      <w:r w:rsidRPr="00BB59E6">
        <w:rPr>
          <w:rFonts w:ascii="Trebuchet MS" w:hAnsi="Trebuchet MS" w:cs="Arial"/>
          <w:b/>
          <w:bCs/>
          <w:color w:val="1A4292"/>
          <w:sz w:val="27"/>
          <w:szCs w:val="27"/>
        </w:rPr>
        <w:t xml:space="preserve"> </w:t>
      </w:r>
      <w:r w:rsidRPr="00E50A7A">
        <w:rPr>
          <w:rFonts w:ascii="Arial" w:eastAsia="Times New Roman" w:hAnsi="Arial" w:cs="Arial"/>
          <w:b/>
          <w:bCs/>
          <w:color w:val="445AA9"/>
          <w:kern w:val="0"/>
          <w:sz w:val="20"/>
        </w:rPr>
        <w:t>Production and repair of implant-induced microdamage in the cortical bone of goats after long-term estrogen deficiency</w:t>
      </w:r>
      <w:r w:rsidR="00E50A7A">
        <w:rPr>
          <w:rFonts w:ascii="Arial" w:eastAsiaTheme="minorEastAsia" w:hAnsi="Arial" w:cs="Arial" w:hint="eastAsia"/>
          <w:b/>
          <w:bCs/>
          <w:color w:val="445AA9"/>
          <w:kern w:val="0"/>
          <w:sz w:val="20"/>
        </w:rPr>
        <w:t xml:space="preserve">   </w:t>
      </w:r>
    </w:p>
    <w:tbl>
      <w:tblPr>
        <w:tblW w:w="0" w:type="auto"/>
        <w:tblCellSpacing w:w="0" w:type="dxa"/>
        <w:tblCellMar>
          <w:top w:w="15" w:type="dxa"/>
          <w:left w:w="15" w:type="dxa"/>
          <w:bottom w:w="15" w:type="dxa"/>
          <w:right w:w="15" w:type="dxa"/>
        </w:tblCellMar>
        <w:tblLook w:val="04A0"/>
      </w:tblPr>
      <w:tblGrid>
        <w:gridCol w:w="8396"/>
      </w:tblGrid>
      <w:tr w:rsidR="00BB59E6" w:rsidRPr="00BB59E6" w:rsidTr="00BB59E6">
        <w:trPr>
          <w:tblCellSpacing w:w="0" w:type="dxa"/>
        </w:trPr>
        <w:tc>
          <w:tcPr>
            <w:tcW w:w="0" w:type="auto"/>
            <w:tcMar>
              <w:top w:w="45" w:type="dxa"/>
              <w:left w:w="45" w:type="dxa"/>
              <w:bottom w:w="45" w:type="dxa"/>
              <w:right w:w="45" w:type="dxa"/>
            </w:tcMar>
            <w:hideMark/>
          </w:tcPr>
          <w:p w:rsidR="00BB59E6" w:rsidRPr="00BB59E6" w:rsidRDefault="00BB59E6" w:rsidP="00BB59E6">
            <w:pPr>
              <w:widowControl/>
              <w:jc w:val="left"/>
              <w:divId w:val="558176475"/>
              <w:rPr>
                <w:rFonts w:ascii="Arial" w:eastAsia="Times New Roman" w:hAnsi="Arial" w:cs="Arial"/>
                <w:kern w:val="0"/>
                <w:sz w:val="20"/>
              </w:rPr>
            </w:pPr>
            <w:r w:rsidRPr="00BB59E6">
              <w:rPr>
                <w:rFonts w:ascii="Arial" w:eastAsia="Times New Roman" w:hAnsi="Arial" w:cs="Arial"/>
                <w:b/>
                <w:bCs/>
                <w:kern w:val="0"/>
                <w:sz w:val="20"/>
              </w:rPr>
              <w:t>Authors</w:t>
            </w:r>
            <w:r w:rsidR="00E50A7A">
              <w:rPr>
                <w:rFonts w:ascii="Arial" w:eastAsiaTheme="minorEastAsia" w:hAnsi="Arial" w:cs="Arial" w:hint="eastAsia"/>
                <w:b/>
                <w:bCs/>
                <w:kern w:val="0"/>
                <w:sz w:val="20"/>
              </w:rPr>
              <w:t xml:space="preserve"> (</w:t>
            </w:r>
            <w:r w:rsidR="00E50A7A" w:rsidRPr="00E50A7A">
              <w:rPr>
                <w:rFonts w:ascii="Arial" w:eastAsiaTheme="minorEastAsia" w:hAnsi="Arial" w:cs="Arial" w:hint="eastAsia"/>
                <w:b/>
                <w:bCs/>
                <w:color w:val="FF0000"/>
                <w:kern w:val="0"/>
                <w:sz w:val="20"/>
              </w:rPr>
              <w:t>第九人民医院</w:t>
            </w:r>
            <w:r w:rsidR="00E50A7A" w:rsidRPr="00E50A7A">
              <w:rPr>
                <w:rFonts w:ascii="Arial" w:eastAsiaTheme="minorEastAsia" w:hAnsi="Arial" w:cs="Arial" w:hint="eastAsia"/>
                <w:b/>
                <w:bCs/>
                <w:color w:val="FF0000"/>
                <w:kern w:val="0"/>
                <w:sz w:val="20"/>
              </w:rPr>
              <w:t>)</w:t>
            </w:r>
            <w:r w:rsidRPr="00BB59E6">
              <w:rPr>
                <w:rFonts w:ascii="Arial" w:eastAsia="Times New Roman" w:hAnsi="Arial" w:cs="Arial"/>
                <w:kern w:val="0"/>
                <w:sz w:val="20"/>
              </w:rPr>
              <w:br/>
              <w:t>Z. Yu, G. Wang, T. Tang, L. Fu, X. Yu, L. Cao, Z. Zhu, K. Dai, S. Qiu</w:t>
            </w:r>
            <w:r w:rsidR="00E50A7A">
              <w:rPr>
                <w:rFonts w:ascii="Arial" w:eastAsiaTheme="minorEastAsia" w:hAnsi="Arial" w:cs="Arial" w:hint="eastAsia"/>
                <w:kern w:val="0"/>
                <w:sz w:val="20"/>
              </w:rPr>
              <w:t xml:space="preserve"> </w:t>
            </w:r>
            <w:r w:rsidRPr="00BB59E6">
              <w:rPr>
                <w:rFonts w:ascii="Arial" w:eastAsia="Times New Roman" w:hAnsi="Arial" w:cs="Arial"/>
                <w:kern w:val="0"/>
                <w:sz w:val="20"/>
              </w:rPr>
              <w:br/>
            </w:r>
            <w:r w:rsidRPr="00BB59E6">
              <w:rPr>
                <w:rFonts w:ascii="Arial" w:eastAsia="Times New Roman" w:hAnsi="Arial" w:cs="Arial"/>
                <w:kern w:val="0"/>
                <w:sz w:val="20"/>
              </w:rPr>
              <w:br/>
            </w:r>
            <w:r w:rsidRPr="00BB59E6">
              <w:rPr>
                <w:rFonts w:ascii="Arial" w:eastAsia="Times New Roman" w:hAnsi="Arial" w:cs="Arial"/>
                <w:b/>
                <w:bCs/>
                <w:kern w:val="0"/>
                <w:sz w:val="20"/>
              </w:rPr>
              <w:t>Abstract</w:t>
            </w:r>
            <w:r w:rsidRPr="00BB59E6">
              <w:rPr>
                <w:rFonts w:ascii="Arial" w:eastAsia="Times New Roman" w:hAnsi="Arial" w:cs="Arial"/>
                <w:kern w:val="0"/>
                <w:sz w:val="20"/>
              </w:rPr>
              <w:br/>
              <w:t>Summary: By using an ovariectomized goat model, we found that estrogen depletion decreases bone quality and makes it susceptible to screw-induced mechanical microdamage. Both diffuse microdamage and linear cracks accumulated up to 3 weeks after screw implantation, and the microdamage was repaired gradually after 4–8 months. Introduction: The aim of this study was to observe the effect of long-term estrogen deficiency on the creation and repair of microdamage in cortical bone adjacent to bone screw. Methods: Cortical bone screws were placed in the tibial diaphyses 28 months after ovariectomy (OVX) or sham operation (Sham-Op) in female goats. The goats were euthanized at 0 day, 21 days, 4 months, and 8 months after screw implantation. Microdamage morphology and repair were examined in peri-screw bone using histomorphometric method, and the nanomechanical properties of peri-screw bone were examined with nanoindentation testing. Results: Tibiae from ovariectomized goats in which screws had been placed had significantly higher levels of diffuse microdamage and significantly more linear cracks than those from sham goats, and the diffuse microdamage was more obvious than linear cracks in the region adjacent to the implant. Both diffuse microdamage and linear cracks accumulated up to day 21 and then gradually repaired at 4 and 8 months after surgery. The trend for bone remodeling in each group was consistent with changes in the level of microdamage. Nanoindentation testing showed that both elastic modulus and hardness in peri-screw bone were significantly decreased in OVX group compared to Sham-Op group. The hardness and elastic modulus also showed a downward trend up to 4 months after screw implantation and then exhibited some recovery after 8 months. Conclusions: Estrogen depletion decreases bone quality and makes it vulnerable to screw-induced mechanical damage, which may compromise the initial stability of an orthopedic implant.</w:t>
            </w:r>
            <w:r w:rsidRPr="00BB59E6">
              <w:rPr>
                <w:rFonts w:ascii="Arial" w:eastAsia="Times New Roman" w:hAnsi="Arial" w:cs="Arial"/>
                <w:kern w:val="0"/>
                <w:sz w:val="20"/>
              </w:rPr>
              <w:br/>
            </w:r>
            <w:r w:rsidRPr="00BB59E6">
              <w:rPr>
                <w:rFonts w:ascii="Arial" w:eastAsia="Times New Roman" w:hAnsi="Arial" w:cs="Arial"/>
                <w:kern w:val="0"/>
                <w:sz w:val="20"/>
              </w:rPr>
              <w:br/>
            </w:r>
            <w:r w:rsidRPr="00BB59E6">
              <w:rPr>
                <w:rFonts w:ascii="Arial" w:eastAsia="Times New Roman" w:hAnsi="Arial" w:cs="Arial"/>
                <w:b/>
                <w:bCs/>
                <w:kern w:val="0"/>
                <w:sz w:val="20"/>
              </w:rPr>
              <w:t>Link to Article</w:t>
            </w:r>
            <w:r w:rsidRPr="00BB59E6">
              <w:rPr>
                <w:rFonts w:ascii="Arial" w:eastAsia="Times New Roman" w:hAnsi="Arial" w:cs="Arial"/>
                <w:kern w:val="0"/>
                <w:sz w:val="20"/>
              </w:rPr>
              <w:br/>
            </w:r>
            <w:hyperlink r:id="rId10" w:history="1">
              <w:r w:rsidRPr="00BB59E6">
                <w:rPr>
                  <w:rFonts w:ascii="Arial" w:eastAsia="Times New Roman" w:hAnsi="Arial" w:cs="Arial"/>
                  <w:color w:val="445AA9"/>
                  <w:kern w:val="0"/>
                  <w:sz w:val="20"/>
                  <w:u w:val="single"/>
                </w:rPr>
                <w:t>http://dx.doi.org/10.1007/s00198-013-2496-1</w:t>
              </w:r>
            </w:hyperlink>
          </w:p>
        </w:tc>
      </w:tr>
    </w:tbl>
    <w:p w:rsidR="00BB59E6" w:rsidRDefault="00BB59E6">
      <w:pPr>
        <w:rPr>
          <w:rFonts w:ascii="Arial" w:hAnsi="Arial" w:cs="Arial"/>
        </w:rPr>
      </w:pPr>
    </w:p>
    <w:p w:rsidR="00BB59E6" w:rsidRDefault="00BB59E6">
      <w:pPr>
        <w:rPr>
          <w:rFonts w:ascii="Arial" w:hAnsi="Arial" w:cs="Arial"/>
        </w:rPr>
      </w:pPr>
    </w:p>
    <w:p w:rsidR="00E50A7A" w:rsidRPr="00E50A7A" w:rsidRDefault="00E50A7A" w:rsidP="00E50A7A">
      <w:pPr>
        <w:pBdr>
          <w:top w:val="dotted" w:sz="2" w:space="0" w:color="C7C7C7"/>
          <w:left w:val="dotted" w:sz="2" w:space="0" w:color="C7C7C7"/>
          <w:bottom w:val="dotted" w:sz="2" w:space="0" w:color="C7C7C7"/>
          <w:right w:val="dotted" w:sz="2" w:space="0" w:color="C7C7C7"/>
        </w:pBdr>
        <w:spacing w:before="60" w:after="60"/>
        <w:outlineLvl w:val="4"/>
        <w:rPr>
          <w:rFonts w:ascii="Trebuchet MS" w:eastAsia="Times New Roman" w:hAnsi="Trebuchet MS" w:cs="Arial"/>
          <w:b/>
          <w:bCs/>
          <w:color w:val="1A4292"/>
          <w:kern w:val="0"/>
          <w:sz w:val="27"/>
          <w:szCs w:val="27"/>
        </w:rPr>
      </w:pPr>
      <w:r>
        <w:rPr>
          <w:rFonts w:ascii="Arial" w:hAnsi="Arial" w:cs="Arial" w:hint="eastAsia"/>
        </w:rPr>
        <w:t>5.</w:t>
      </w:r>
      <w:r w:rsidRPr="00E50A7A">
        <w:rPr>
          <w:rFonts w:ascii="Trebuchet MS" w:hAnsi="Trebuchet MS" w:cs="Arial"/>
          <w:b/>
          <w:bCs/>
          <w:color w:val="1A4292"/>
          <w:sz w:val="27"/>
          <w:szCs w:val="27"/>
        </w:rPr>
        <w:t xml:space="preserve"> </w:t>
      </w:r>
      <w:r w:rsidRPr="000A0DC7">
        <w:rPr>
          <w:rFonts w:ascii="Arial" w:eastAsia="Times New Roman" w:hAnsi="Arial" w:cs="Arial"/>
          <w:b/>
          <w:bCs/>
          <w:color w:val="445AA9"/>
          <w:kern w:val="0"/>
          <w:sz w:val="20"/>
        </w:rPr>
        <w:t>A Clinically Relevant Mouse Model of Canine Osteosarcoma with Spontaneous Metastasis</w:t>
      </w:r>
    </w:p>
    <w:tbl>
      <w:tblPr>
        <w:tblW w:w="0" w:type="auto"/>
        <w:tblCellSpacing w:w="0" w:type="dxa"/>
        <w:tblCellMar>
          <w:top w:w="15" w:type="dxa"/>
          <w:left w:w="15" w:type="dxa"/>
          <w:bottom w:w="15" w:type="dxa"/>
          <w:right w:w="15" w:type="dxa"/>
        </w:tblCellMar>
        <w:tblLook w:val="04A0"/>
      </w:tblPr>
      <w:tblGrid>
        <w:gridCol w:w="8396"/>
      </w:tblGrid>
      <w:tr w:rsidR="00E50A7A" w:rsidRPr="00E50A7A" w:rsidTr="00E50A7A">
        <w:trPr>
          <w:tblCellSpacing w:w="0" w:type="dxa"/>
        </w:trPr>
        <w:tc>
          <w:tcPr>
            <w:tcW w:w="0" w:type="auto"/>
            <w:tcMar>
              <w:top w:w="45" w:type="dxa"/>
              <w:left w:w="45" w:type="dxa"/>
              <w:bottom w:w="45" w:type="dxa"/>
              <w:right w:w="45" w:type="dxa"/>
            </w:tcMar>
            <w:hideMark/>
          </w:tcPr>
          <w:p w:rsidR="00E50A7A" w:rsidRDefault="00E50A7A" w:rsidP="00E50A7A">
            <w:pPr>
              <w:widowControl/>
              <w:jc w:val="left"/>
              <w:divId w:val="505171954"/>
              <w:rPr>
                <w:rFonts w:ascii="Arial" w:eastAsiaTheme="minorEastAsia" w:hAnsi="Arial" w:cs="Arial"/>
                <w:kern w:val="0"/>
                <w:sz w:val="20"/>
              </w:rPr>
            </w:pPr>
            <w:r w:rsidRPr="00E50A7A">
              <w:rPr>
                <w:rFonts w:ascii="Arial" w:eastAsia="Times New Roman" w:hAnsi="Arial" w:cs="Arial"/>
                <w:b/>
                <w:bCs/>
                <w:kern w:val="0"/>
                <w:sz w:val="20"/>
              </w:rPr>
              <w:t>Authors</w:t>
            </w:r>
            <w:r w:rsidRPr="00E50A7A">
              <w:rPr>
                <w:rFonts w:ascii="Arial" w:eastAsia="Times New Roman" w:hAnsi="Arial" w:cs="Arial"/>
                <w:kern w:val="0"/>
                <w:sz w:val="20"/>
              </w:rPr>
              <w:br/>
              <w:t>Beth K. Chaffee and Matthew J. Allen</w:t>
            </w:r>
            <w:r w:rsidRPr="00E50A7A">
              <w:rPr>
                <w:rFonts w:ascii="Arial" w:eastAsia="Times New Roman" w:hAnsi="Arial" w:cs="Arial"/>
                <w:kern w:val="0"/>
                <w:sz w:val="20"/>
              </w:rPr>
              <w:br/>
            </w:r>
            <w:r w:rsidRPr="00E50A7A">
              <w:rPr>
                <w:rFonts w:ascii="Arial" w:eastAsia="Times New Roman" w:hAnsi="Arial" w:cs="Arial"/>
                <w:kern w:val="0"/>
                <w:sz w:val="20"/>
              </w:rPr>
              <w:br/>
            </w:r>
            <w:r w:rsidRPr="00E50A7A">
              <w:rPr>
                <w:rFonts w:ascii="Arial" w:eastAsia="Times New Roman" w:hAnsi="Arial" w:cs="Arial"/>
                <w:b/>
                <w:bCs/>
                <w:kern w:val="0"/>
                <w:sz w:val="20"/>
              </w:rPr>
              <w:t>Abstract</w:t>
            </w:r>
            <w:r w:rsidRPr="00E50A7A">
              <w:rPr>
                <w:rFonts w:ascii="Arial" w:eastAsia="Times New Roman" w:hAnsi="Arial" w:cs="Arial"/>
                <w:kern w:val="0"/>
                <w:sz w:val="20"/>
              </w:rPr>
              <w:br/>
              <w:t>Background/Aim: Many patients with osteosarcoma (OS) will succumb to distant metastasis, often involving the lungs. Effective therapies for treating lung metastases depend on the availability of a clinically relevant pre-clinical model. Materials and Methods: Mice were surgically implanted with OS tumor fragments. The time course of primary tumor growth and subsequent spread to the lung were determined. Results: Following development of a lytic and proliferative primary bone lesion, tumor metastasized to the lung in the majority of mice. There was no evidence of tumor at three weeks, but 10 out of 11 mice ultimately developed secondary OS in the lung within 12 weeks. Conclusion: Implantation of OS tumor fragments leads to the development of primary bone tumors and secondary lung metastases, recapitulating the clinical behavior of OS. This model offers an advantage over cell suspension injection models by precluding initial seeding of the lung with tumor cells.</w:t>
            </w:r>
            <w:r w:rsidRPr="00E50A7A">
              <w:rPr>
                <w:rFonts w:ascii="Arial" w:eastAsia="Times New Roman" w:hAnsi="Arial" w:cs="Arial"/>
                <w:kern w:val="0"/>
                <w:sz w:val="20"/>
              </w:rPr>
              <w:br/>
            </w:r>
            <w:r w:rsidRPr="00E50A7A">
              <w:rPr>
                <w:rFonts w:ascii="Arial" w:eastAsia="Times New Roman" w:hAnsi="Arial" w:cs="Arial"/>
                <w:kern w:val="0"/>
                <w:sz w:val="20"/>
              </w:rPr>
              <w:br/>
            </w:r>
            <w:r w:rsidRPr="00E50A7A">
              <w:rPr>
                <w:rFonts w:ascii="Arial" w:eastAsia="Times New Roman" w:hAnsi="Arial" w:cs="Arial"/>
                <w:b/>
                <w:bCs/>
                <w:kern w:val="0"/>
                <w:sz w:val="20"/>
              </w:rPr>
              <w:t>Link to Article</w:t>
            </w:r>
            <w:r w:rsidRPr="00E50A7A">
              <w:rPr>
                <w:rFonts w:ascii="Arial" w:eastAsia="Times New Roman" w:hAnsi="Arial" w:cs="Arial"/>
                <w:kern w:val="0"/>
                <w:sz w:val="20"/>
              </w:rPr>
              <w:br/>
            </w:r>
            <w:hyperlink r:id="rId11" w:history="1">
              <w:r w:rsidRPr="00E50A7A">
                <w:rPr>
                  <w:rFonts w:ascii="Arial" w:eastAsia="Times New Roman" w:hAnsi="Arial" w:cs="Arial"/>
                  <w:color w:val="445AA9"/>
                  <w:kern w:val="0"/>
                  <w:sz w:val="20"/>
                  <w:u w:val="single"/>
                </w:rPr>
                <w:t>http://iv.iiarjournals.org/content/27/5/599.short</w:t>
              </w:r>
            </w:hyperlink>
          </w:p>
          <w:p w:rsidR="000A0DC7" w:rsidRDefault="000A0DC7" w:rsidP="00E50A7A">
            <w:pPr>
              <w:widowControl/>
              <w:jc w:val="left"/>
              <w:divId w:val="505171954"/>
              <w:rPr>
                <w:rFonts w:ascii="Arial" w:eastAsiaTheme="minorEastAsia" w:hAnsi="Arial" w:cs="Arial"/>
                <w:kern w:val="0"/>
                <w:sz w:val="20"/>
              </w:rPr>
            </w:pPr>
          </w:p>
          <w:p w:rsidR="000A0DC7" w:rsidRPr="000A0DC7" w:rsidRDefault="000A0DC7" w:rsidP="000A0DC7">
            <w:pPr>
              <w:pBdr>
                <w:top w:val="dotted" w:sz="2" w:space="0" w:color="C7C7C7"/>
                <w:left w:val="dotted" w:sz="2" w:space="0" w:color="C7C7C7"/>
                <w:bottom w:val="dotted" w:sz="2" w:space="0" w:color="C7C7C7"/>
                <w:right w:val="dotted" w:sz="2" w:space="0" w:color="C7C7C7"/>
              </w:pBdr>
              <w:spacing w:before="60" w:after="60"/>
              <w:outlineLvl w:val="4"/>
              <w:divId w:val="505171954"/>
              <w:rPr>
                <w:rFonts w:ascii="Trebuchet MS" w:eastAsia="Times New Roman" w:hAnsi="Trebuchet MS" w:cs="Arial"/>
                <w:b/>
                <w:bCs/>
                <w:color w:val="1A4292"/>
                <w:kern w:val="0"/>
                <w:sz w:val="27"/>
                <w:szCs w:val="27"/>
              </w:rPr>
            </w:pPr>
            <w:r>
              <w:rPr>
                <w:rFonts w:ascii="Arial" w:eastAsiaTheme="minorEastAsia" w:hAnsi="Arial" w:cs="Arial" w:hint="eastAsia"/>
                <w:kern w:val="0"/>
                <w:sz w:val="20"/>
              </w:rPr>
              <w:t>6.</w:t>
            </w:r>
            <w:r>
              <w:rPr>
                <w:rFonts w:ascii="Trebuchet MS" w:hAnsi="Trebuchet MS" w:cs="Arial"/>
                <w:b/>
                <w:bCs/>
                <w:color w:val="1A4292"/>
                <w:sz w:val="27"/>
                <w:szCs w:val="27"/>
              </w:rPr>
              <w:t xml:space="preserve"> </w:t>
            </w:r>
            <w:r w:rsidRPr="000A0DC7">
              <w:rPr>
                <w:rFonts w:ascii="Arial" w:eastAsia="Times New Roman" w:hAnsi="Arial" w:cs="Arial"/>
                <w:b/>
                <w:bCs/>
                <w:color w:val="445AA9"/>
                <w:kern w:val="0"/>
                <w:sz w:val="20"/>
              </w:rPr>
              <w:t>R-spondin 1 promotes vibration-induced bone formation in mouse models of osteoporosis</w:t>
            </w:r>
          </w:p>
          <w:tbl>
            <w:tblPr>
              <w:tblW w:w="0" w:type="auto"/>
              <w:tblCellSpacing w:w="0" w:type="dxa"/>
              <w:tblCellMar>
                <w:top w:w="15" w:type="dxa"/>
                <w:left w:w="15" w:type="dxa"/>
                <w:bottom w:w="15" w:type="dxa"/>
                <w:right w:w="15" w:type="dxa"/>
              </w:tblCellMar>
              <w:tblLook w:val="04A0"/>
            </w:tblPr>
            <w:tblGrid>
              <w:gridCol w:w="8306"/>
            </w:tblGrid>
            <w:tr w:rsidR="000A0DC7" w:rsidRPr="000A0DC7" w:rsidTr="000A0DC7">
              <w:trPr>
                <w:divId w:val="505171954"/>
                <w:tblCellSpacing w:w="0" w:type="dxa"/>
              </w:trPr>
              <w:tc>
                <w:tcPr>
                  <w:tcW w:w="0" w:type="auto"/>
                  <w:tcMar>
                    <w:top w:w="45" w:type="dxa"/>
                    <w:left w:w="45" w:type="dxa"/>
                    <w:bottom w:w="45" w:type="dxa"/>
                    <w:right w:w="45" w:type="dxa"/>
                  </w:tcMar>
                  <w:hideMark/>
                </w:tcPr>
                <w:p w:rsidR="000A0DC7" w:rsidRPr="000A0DC7" w:rsidRDefault="000A0DC7" w:rsidP="000A0DC7">
                  <w:pPr>
                    <w:widowControl/>
                    <w:jc w:val="left"/>
                    <w:divId w:val="2135438209"/>
                    <w:rPr>
                      <w:rFonts w:ascii="Arial" w:eastAsia="Times New Roman" w:hAnsi="Arial" w:cs="Arial"/>
                      <w:kern w:val="0"/>
                      <w:sz w:val="20"/>
                    </w:rPr>
                  </w:pPr>
                  <w:r w:rsidRPr="000A0DC7">
                    <w:rPr>
                      <w:rFonts w:ascii="Arial" w:eastAsia="Times New Roman" w:hAnsi="Arial" w:cs="Arial"/>
                      <w:b/>
                      <w:bCs/>
                      <w:kern w:val="0"/>
                      <w:sz w:val="20"/>
                    </w:rPr>
                    <w:t>Authors</w:t>
                  </w:r>
                  <w:r w:rsidRPr="000A0DC7">
                    <w:rPr>
                      <w:rFonts w:ascii="Arial" w:eastAsia="Times New Roman" w:hAnsi="Arial" w:cs="Arial"/>
                      <w:kern w:val="0"/>
                      <w:sz w:val="20"/>
                    </w:rPr>
                    <w:br/>
                    <w:t>Haitao Wang, Tracy A. Brennan, Elizabeth Russell, Jung-Hoon Kim, Kevin P. Egan, Qijun Chen, Craig Israelite, David C. Schultz, Frederick B. Johnson, Robert J. Pignolo</w:t>
                  </w:r>
                  <w:r w:rsidRPr="000A0DC7">
                    <w:rPr>
                      <w:rFonts w:ascii="Arial" w:eastAsia="Times New Roman" w:hAnsi="Arial" w:cs="Arial"/>
                      <w:kern w:val="0"/>
                      <w:sz w:val="20"/>
                    </w:rPr>
                    <w:br/>
                  </w:r>
                  <w:r w:rsidRPr="000A0DC7">
                    <w:rPr>
                      <w:rFonts w:ascii="Arial" w:eastAsia="Times New Roman" w:hAnsi="Arial" w:cs="Arial"/>
                      <w:kern w:val="0"/>
                      <w:sz w:val="20"/>
                    </w:rPr>
                    <w:br/>
                  </w:r>
                  <w:r w:rsidRPr="000A0DC7">
                    <w:rPr>
                      <w:rFonts w:ascii="Arial" w:eastAsia="Times New Roman" w:hAnsi="Arial" w:cs="Arial"/>
                      <w:b/>
                      <w:bCs/>
                      <w:kern w:val="0"/>
                      <w:sz w:val="20"/>
                    </w:rPr>
                    <w:t>Abstract</w:t>
                  </w:r>
                  <w:r w:rsidRPr="000A0DC7">
                    <w:rPr>
                      <w:rFonts w:ascii="Arial" w:eastAsia="Times New Roman" w:hAnsi="Arial" w:cs="Arial"/>
                      <w:kern w:val="0"/>
                      <w:sz w:val="20"/>
                    </w:rPr>
                    <w:br/>
                    <w:t>Bone tissue adapts to its functional environment by optimizing its morphology for mechanical demand. Among the mechanosensitive cells that recognize and respond to forces in the skeleton are osteocytes, osteoblasts, and mesenchymal progenitor cells (MPCs). Therefore, the ability to use mechanical signals to improve bone health through exercise and devices that deliver mechanical signals is an attractive approach to age-related bone loss; however, the extracellular or circulating mediators of such signals are largely unknown. Using SDS-PAGE separation of proteins secreted by MPCs in response to low-magnitude mechanical signals and in-gel trypsin digestion followed by HPLC and mass spectroscopy, we identified secreted proteins up-regulated by vibratory stimulation. We exploited a cell senescence-associated secretory phenotype screen and reasoned that a subset of vibration-induced proteins with diminished secretion by senescent MPCs will have the capacity to promote bone formation in vivo. We identified one such vibration-induced bone-enhancing (vibe) gene as R-spondin 1, a Wnt pathway modulator, and demonstrated that it has the capacity to promote bone formation in three mouse models of age-related bone loss. By virtue of their secretory status, some vibe proteins may be candidates for pre-clinical development as anabolic agents for the treatment of osteoporosis.</w:t>
                  </w:r>
                  <w:r w:rsidRPr="000A0DC7">
                    <w:rPr>
                      <w:rFonts w:ascii="Arial" w:eastAsia="Times New Roman" w:hAnsi="Arial" w:cs="Arial"/>
                      <w:kern w:val="0"/>
                      <w:sz w:val="20"/>
                    </w:rPr>
                    <w:br/>
                  </w:r>
                  <w:r w:rsidRPr="000A0DC7">
                    <w:rPr>
                      <w:rFonts w:ascii="Arial" w:eastAsia="Times New Roman" w:hAnsi="Arial" w:cs="Arial"/>
                      <w:kern w:val="0"/>
                      <w:sz w:val="20"/>
                    </w:rPr>
                    <w:br/>
                  </w:r>
                  <w:r w:rsidRPr="000A0DC7">
                    <w:rPr>
                      <w:rFonts w:ascii="Arial" w:eastAsia="Times New Roman" w:hAnsi="Arial" w:cs="Arial"/>
                      <w:b/>
                      <w:bCs/>
                      <w:kern w:val="0"/>
                      <w:sz w:val="20"/>
                    </w:rPr>
                    <w:t>Link to Article</w:t>
                  </w:r>
                  <w:r w:rsidRPr="000A0DC7">
                    <w:rPr>
                      <w:rFonts w:ascii="Arial" w:eastAsia="Times New Roman" w:hAnsi="Arial" w:cs="Arial"/>
                      <w:kern w:val="0"/>
                      <w:sz w:val="20"/>
                    </w:rPr>
                    <w:br/>
                  </w:r>
                  <w:hyperlink r:id="rId12" w:history="1">
                    <w:r w:rsidRPr="000A0DC7">
                      <w:rPr>
                        <w:rFonts w:ascii="Arial" w:eastAsia="Times New Roman" w:hAnsi="Arial" w:cs="Arial"/>
                        <w:color w:val="445AA9"/>
                        <w:kern w:val="0"/>
                        <w:sz w:val="20"/>
                        <w:u w:val="single"/>
                      </w:rPr>
                      <w:t>http://dx.doi.org/10.1007/s00109-013-1068-3</w:t>
                    </w:r>
                  </w:hyperlink>
                </w:p>
              </w:tc>
            </w:tr>
          </w:tbl>
          <w:p w:rsidR="000A0DC7" w:rsidRPr="00E50A7A" w:rsidRDefault="000A0DC7" w:rsidP="00E50A7A">
            <w:pPr>
              <w:widowControl/>
              <w:jc w:val="left"/>
              <w:divId w:val="505171954"/>
              <w:rPr>
                <w:rFonts w:ascii="Arial" w:eastAsiaTheme="minorEastAsia" w:hAnsi="Arial" w:cs="Arial"/>
                <w:kern w:val="0"/>
                <w:sz w:val="20"/>
              </w:rPr>
            </w:pPr>
          </w:p>
        </w:tc>
      </w:tr>
    </w:tbl>
    <w:p w:rsidR="00BB59E6" w:rsidRDefault="00BB59E6">
      <w:pPr>
        <w:rPr>
          <w:rFonts w:ascii="Arial" w:hAnsi="Arial" w:cs="Arial"/>
        </w:rPr>
      </w:pPr>
    </w:p>
    <w:p w:rsidR="00BB59E6" w:rsidRDefault="00BB59E6">
      <w:pPr>
        <w:rPr>
          <w:rFonts w:ascii="Arial" w:hAnsi="Arial" w:cs="Arial"/>
        </w:rPr>
      </w:pPr>
    </w:p>
    <w:p w:rsidR="000A0DC7" w:rsidRPr="000A0DC7" w:rsidRDefault="000A0DC7" w:rsidP="000A0DC7">
      <w:pPr>
        <w:pBdr>
          <w:top w:val="dotted" w:sz="2" w:space="0" w:color="C7C7C7"/>
          <w:left w:val="dotted" w:sz="2" w:space="0" w:color="C7C7C7"/>
          <w:bottom w:val="dotted" w:sz="2" w:space="0" w:color="C7C7C7"/>
          <w:right w:val="dotted" w:sz="2" w:space="0" w:color="C7C7C7"/>
        </w:pBdr>
        <w:spacing w:before="60" w:after="60"/>
        <w:outlineLvl w:val="4"/>
        <w:rPr>
          <w:rFonts w:ascii="Trebuchet MS" w:eastAsia="Times New Roman" w:hAnsi="Trebuchet MS" w:cs="Arial"/>
          <w:b/>
          <w:bCs/>
          <w:color w:val="1A4292"/>
          <w:kern w:val="0"/>
          <w:sz w:val="27"/>
          <w:szCs w:val="27"/>
        </w:rPr>
      </w:pPr>
      <w:r>
        <w:rPr>
          <w:rFonts w:ascii="Arial" w:hAnsi="Arial" w:cs="Arial" w:hint="eastAsia"/>
        </w:rPr>
        <w:t>7</w:t>
      </w:r>
      <w:r w:rsidRPr="000A0DC7">
        <w:rPr>
          <w:rFonts w:ascii="Arial" w:hAnsi="Arial" w:cs="Arial"/>
          <w:sz w:val="20"/>
        </w:rPr>
        <w:t>.</w:t>
      </w:r>
      <w:r w:rsidRPr="000A0DC7">
        <w:rPr>
          <w:rFonts w:ascii="Arial" w:hAnsi="Arial" w:cs="Arial"/>
          <w:b/>
          <w:bCs/>
          <w:color w:val="1A4292"/>
          <w:sz w:val="20"/>
        </w:rPr>
        <w:t xml:space="preserve"> </w:t>
      </w:r>
      <w:r w:rsidRPr="000A0DC7">
        <w:rPr>
          <w:rFonts w:ascii="Arial" w:eastAsia="Times New Roman" w:hAnsi="Arial" w:cs="Arial"/>
          <w:b/>
          <w:bCs/>
          <w:color w:val="445AA9"/>
          <w:kern w:val="0"/>
          <w:sz w:val="20"/>
        </w:rPr>
        <w:t>Epiphyseal abnormalities, trabecular bone loss and articular chondrocyte hypertrophy develop in the long bones of postnatal Ext1-deficient mice</w:t>
      </w:r>
    </w:p>
    <w:tbl>
      <w:tblPr>
        <w:tblW w:w="0" w:type="auto"/>
        <w:tblCellSpacing w:w="0" w:type="dxa"/>
        <w:tblCellMar>
          <w:top w:w="15" w:type="dxa"/>
          <w:left w:w="15" w:type="dxa"/>
          <w:bottom w:w="15" w:type="dxa"/>
          <w:right w:w="15" w:type="dxa"/>
        </w:tblCellMar>
        <w:tblLook w:val="04A0"/>
      </w:tblPr>
      <w:tblGrid>
        <w:gridCol w:w="8396"/>
      </w:tblGrid>
      <w:tr w:rsidR="000A0DC7" w:rsidRPr="000A0DC7" w:rsidTr="000A0DC7">
        <w:trPr>
          <w:tblCellSpacing w:w="0" w:type="dxa"/>
        </w:trPr>
        <w:tc>
          <w:tcPr>
            <w:tcW w:w="0" w:type="auto"/>
            <w:tcMar>
              <w:top w:w="45" w:type="dxa"/>
              <w:left w:w="45" w:type="dxa"/>
              <w:bottom w:w="45" w:type="dxa"/>
              <w:right w:w="45" w:type="dxa"/>
            </w:tcMar>
            <w:hideMark/>
          </w:tcPr>
          <w:p w:rsidR="000A0DC7" w:rsidRPr="000A0DC7" w:rsidRDefault="000A0DC7" w:rsidP="000A0DC7">
            <w:pPr>
              <w:widowControl/>
              <w:jc w:val="left"/>
              <w:divId w:val="742684287"/>
              <w:rPr>
                <w:rFonts w:ascii="Arial" w:eastAsia="Times New Roman" w:hAnsi="Arial" w:cs="Arial"/>
                <w:kern w:val="0"/>
                <w:sz w:val="20"/>
              </w:rPr>
            </w:pPr>
            <w:r w:rsidRPr="000A0DC7">
              <w:rPr>
                <w:rFonts w:ascii="Arial" w:eastAsia="Times New Roman" w:hAnsi="Arial" w:cs="Arial"/>
                <w:b/>
                <w:bCs/>
                <w:kern w:val="0"/>
                <w:sz w:val="20"/>
              </w:rPr>
              <w:t>Authors</w:t>
            </w:r>
            <w:r w:rsidRPr="000A0DC7">
              <w:rPr>
                <w:rFonts w:ascii="Arial" w:eastAsia="Times New Roman" w:hAnsi="Arial" w:cs="Arial"/>
                <w:kern w:val="0"/>
                <w:sz w:val="20"/>
              </w:rPr>
              <w:br/>
              <w:t>Federica Sgariglia, Maria Elena Candela, Julianne Huegel, Olena Jacenko, Eiki Koyama, Yu Yamaguchi, Maurizio Pacifici, Motomi Enomoto-Iwamoto</w:t>
            </w:r>
            <w:r w:rsidRPr="000A0DC7">
              <w:rPr>
                <w:rFonts w:ascii="Arial" w:eastAsia="Times New Roman" w:hAnsi="Arial" w:cs="Arial"/>
                <w:kern w:val="0"/>
                <w:sz w:val="20"/>
              </w:rPr>
              <w:br/>
            </w:r>
            <w:r w:rsidRPr="000A0DC7">
              <w:rPr>
                <w:rFonts w:ascii="Arial" w:eastAsia="Times New Roman" w:hAnsi="Arial" w:cs="Arial"/>
                <w:kern w:val="0"/>
                <w:sz w:val="20"/>
              </w:rPr>
              <w:br/>
            </w:r>
            <w:r w:rsidRPr="000A0DC7">
              <w:rPr>
                <w:rFonts w:ascii="Arial" w:eastAsia="Times New Roman" w:hAnsi="Arial" w:cs="Arial"/>
                <w:b/>
                <w:bCs/>
                <w:kern w:val="0"/>
                <w:sz w:val="20"/>
              </w:rPr>
              <w:t>Abstract</w:t>
            </w:r>
            <w:r w:rsidRPr="000A0DC7">
              <w:rPr>
                <w:rFonts w:ascii="Arial" w:eastAsia="Times New Roman" w:hAnsi="Arial" w:cs="Arial"/>
                <w:kern w:val="0"/>
                <w:sz w:val="20"/>
              </w:rPr>
              <w:br/>
              <w:t>Long bones are integral components of the limb skeleton. Recent studies have indicated that embryonic long bone development is altered by mutations in Ext genes and consequent heparan sulfate (HS) deficiency, possibly due to changes in activity and distribution of HS-binding/growth plate-associated signaling proteins. Here we asked whether Ext function is continuously required after birth to sustain growth plate function and long bone growth and organization. Compound transgenic Ext1f/f;Col2CreERT mice were injected with tamoxifen at postnatal day 5 (P5) to ablate Ext1 in cartilage and monitored over time. The Ext1-deficient mice exhibited growth retardation already by 2 weeks post-injection, as did their long bones. Mutant growth plates displayed a severe disorganization of chondrocyte columnar organization, a shortened hypertrophic zone with low expression of collagen X and MMP-13, and reduced primary spongiosa accompanied, however, by increased numbers of TRAP-positive osteoclasts at the chondro–osseous border. The mutant epiphyses were abnormal as well. Formation of a secondary ossification center was significantly delayed but interestingly, hypertrophic-like chondrocytes emerged within articular cartilage, similar to those often seen in osteoarthritic joints. Indeed, the cells displayed a large size and round shape, expressed collagen X and MMP-13 and were surrounded by an abundant Perlecan-rich pericellular matrix not seen in control articular chondrocytes. In addition, ectopic cartilaginous outgrowths developed on the lateral side of mutant growth plates over time that resembled exostotic characteristic of children with Hereditary Multiple Exostoses, a syndrome caused by Ext mutations and HS deficiency. In sum, the data do show that Ext1 is continuously required for postnatal growth and organization of long bones as well as their adjacent joints. Ext1 deficiency elicits defects that can occur in human skeletal conditions including trabecular bone loss, osteoarthritis and HME.</w:t>
            </w:r>
            <w:r w:rsidRPr="000A0DC7">
              <w:rPr>
                <w:rFonts w:ascii="Arial" w:eastAsia="Times New Roman" w:hAnsi="Arial" w:cs="Arial"/>
                <w:kern w:val="0"/>
                <w:sz w:val="20"/>
              </w:rPr>
              <w:br/>
            </w:r>
            <w:r w:rsidRPr="000A0DC7">
              <w:rPr>
                <w:rFonts w:ascii="Arial" w:eastAsia="Times New Roman" w:hAnsi="Arial" w:cs="Arial"/>
                <w:kern w:val="0"/>
                <w:sz w:val="20"/>
              </w:rPr>
              <w:br/>
            </w:r>
            <w:r w:rsidRPr="000A0DC7">
              <w:rPr>
                <w:rFonts w:ascii="Arial" w:eastAsia="Times New Roman" w:hAnsi="Arial" w:cs="Arial"/>
                <w:b/>
                <w:bCs/>
                <w:kern w:val="0"/>
                <w:sz w:val="20"/>
              </w:rPr>
              <w:t>Link to Article</w:t>
            </w:r>
            <w:r w:rsidRPr="000A0DC7">
              <w:rPr>
                <w:rFonts w:ascii="Arial" w:eastAsia="Times New Roman" w:hAnsi="Arial" w:cs="Arial"/>
                <w:kern w:val="0"/>
                <w:sz w:val="20"/>
              </w:rPr>
              <w:br/>
            </w:r>
            <w:hyperlink r:id="rId13" w:history="1">
              <w:r w:rsidRPr="000A0DC7">
                <w:rPr>
                  <w:rFonts w:ascii="Arial" w:eastAsia="Times New Roman" w:hAnsi="Arial" w:cs="Arial"/>
                  <w:color w:val="445AA9"/>
                  <w:kern w:val="0"/>
                  <w:sz w:val="20"/>
                  <w:u w:val="single"/>
                </w:rPr>
                <w:t>http://dx.doi.org/10.1016/j.bone.2013.08.012</w:t>
              </w:r>
            </w:hyperlink>
          </w:p>
        </w:tc>
      </w:tr>
    </w:tbl>
    <w:p w:rsidR="00BB59E6" w:rsidRDefault="00BB59E6">
      <w:pPr>
        <w:rPr>
          <w:rFonts w:ascii="Arial" w:hAnsi="Arial" w:cs="Arial"/>
        </w:rPr>
      </w:pPr>
    </w:p>
    <w:p w:rsidR="00BB59E6" w:rsidRDefault="00BB59E6">
      <w:pPr>
        <w:rPr>
          <w:rFonts w:ascii="Arial" w:hAnsi="Arial" w:cs="Arial"/>
        </w:rPr>
      </w:pPr>
    </w:p>
    <w:p w:rsidR="00DF5F0E" w:rsidRDefault="00DF5F0E" w:rsidP="00DF5F0E">
      <w:pPr>
        <w:pBdr>
          <w:top w:val="dotted" w:sz="2" w:space="0" w:color="C7C7C7"/>
          <w:left w:val="dotted" w:sz="2" w:space="0" w:color="C7C7C7"/>
          <w:bottom w:val="dotted" w:sz="2" w:space="0" w:color="C7C7C7"/>
          <w:right w:val="dotted" w:sz="2" w:space="0" w:color="C7C7C7"/>
        </w:pBdr>
        <w:spacing w:before="60" w:after="60"/>
        <w:outlineLvl w:val="4"/>
        <w:rPr>
          <w:rFonts w:ascii="Arial" w:hAnsi="Arial" w:cs="Arial"/>
        </w:rPr>
      </w:pPr>
    </w:p>
    <w:p w:rsidR="00DF5F0E" w:rsidRDefault="00DF5F0E" w:rsidP="00DF5F0E">
      <w:pPr>
        <w:pBdr>
          <w:top w:val="dotted" w:sz="2" w:space="0" w:color="C7C7C7"/>
          <w:left w:val="dotted" w:sz="2" w:space="0" w:color="C7C7C7"/>
          <w:bottom w:val="dotted" w:sz="2" w:space="0" w:color="C7C7C7"/>
          <w:right w:val="dotted" w:sz="2" w:space="0" w:color="C7C7C7"/>
        </w:pBdr>
        <w:spacing w:before="60" w:after="60"/>
        <w:outlineLvl w:val="4"/>
        <w:rPr>
          <w:rFonts w:ascii="Arial" w:hAnsi="Arial" w:cs="Arial"/>
        </w:rPr>
      </w:pPr>
    </w:p>
    <w:p w:rsidR="00DF5F0E" w:rsidRPr="00DF5F0E" w:rsidRDefault="000A0DC7" w:rsidP="00DF5F0E">
      <w:pPr>
        <w:pBdr>
          <w:top w:val="dotted" w:sz="2" w:space="0" w:color="C7C7C7"/>
          <w:left w:val="dotted" w:sz="2" w:space="0" w:color="C7C7C7"/>
          <w:bottom w:val="dotted" w:sz="2" w:space="0" w:color="C7C7C7"/>
          <w:right w:val="dotted" w:sz="2" w:space="0" w:color="C7C7C7"/>
        </w:pBdr>
        <w:spacing w:before="60" w:after="60"/>
        <w:outlineLvl w:val="4"/>
        <w:rPr>
          <w:rFonts w:ascii="Trebuchet MS" w:eastAsia="Times New Roman" w:hAnsi="Trebuchet MS" w:cs="Arial"/>
          <w:b/>
          <w:bCs/>
          <w:color w:val="1A4292"/>
          <w:kern w:val="0"/>
          <w:sz w:val="27"/>
          <w:szCs w:val="27"/>
        </w:rPr>
      </w:pPr>
      <w:r>
        <w:rPr>
          <w:rFonts w:ascii="Arial" w:hAnsi="Arial" w:cs="Arial" w:hint="eastAsia"/>
        </w:rPr>
        <w:t>8.</w:t>
      </w:r>
      <w:r w:rsidR="00DF5F0E" w:rsidRPr="00DF5F0E">
        <w:rPr>
          <w:rFonts w:ascii="Arial" w:hAnsi="Arial" w:cs="Arial"/>
          <w:b/>
          <w:bCs/>
          <w:color w:val="1A4292"/>
          <w:sz w:val="20"/>
        </w:rPr>
        <w:t xml:space="preserve"> </w:t>
      </w:r>
      <w:hyperlink r:id="rId14" w:history="1">
        <w:r w:rsidR="00DF5F0E" w:rsidRPr="00DF5F0E">
          <w:rPr>
            <w:rFonts w:ascii="Arial" w:eastAsia="Times New Roman" w:hAnsi="Arial" w:cs="Arial"/>
            <w:b/>
            <w:bCs/>
            <w:color w:val="445AA9"/>
            <w:kern w:val="0"/>
            <w:sz w:val="20"/>
          </w:rPr>
          <w:t>Inactivation of Tgfbr2 in Osterix-Cre expressing dental mesenchyme disrupts molar root formation</w:t>
        </w:r>
      </w:hyperlink>
    </w:p>
    <w:p w:rsidR="00DF5F0E" w:rsidRPr="00DF5F0E" w:rsidRDefault="00DF5F0E" w:rsidP="00DF5F0E">
      <w:pPr>
        <w:widowControl/>
        <w:jc w:val="left"/>
        <w:rPr>
          <w:rFonts w:ascii="Arial" w:eastAsia="Times New Roman" w:hAnsi="Arial" w:cs="Arial"/>
          <w:kern w:val="0"/>
          <w:sz w:val="20"/>
        </w:rPr>
      </w:pPr>
    </w:p>
    <w:tbl>
      <w:tblPr>
        <w:tblW w:w="0" w:type="auto"/>
        <w:tblCellSpacing w:w="0" w:type="dxa"/>
        <w:tblCellMar>
          <w:top w:w="15" w:type="dxa"/>
          <w:left w:w="15" w:type="dxa"/>
          <w:bottom w:w="15" w:type="dxa"/>
          <w:right w:w="15" w:type="dxa"/>
        </w:tblCellMar>
        <w:tblLook w:val="04A0"/>
      </w:tblPr>
      <w:tblGrid>
        <w:gridCol w:w="8396"/>
      </w:tblGrid>
      <w:tr w:rsidR="00DF5F0E" w:rsidRPr="00DF5F0E" w:rsidTr="00DF5F0E">
        <w:trPr>
          <w:tblCellSpacing w:w="0" w:type="dxa"/>
        </w:trPr>
        <w:tc>
          <w:tcPr>
            <w:tcW w:w="0" w:type="auto"/>
            <w:tcMar>
              <w:top w:w="45" w:type="dxa"/>
              <w:left w:w="45" w:type="dxa"/>
              <w:bottom w:w="45" w:type="dxa"/>
              <w:right w:w="45" w:type="dxa"/>
            </w:tcMar>
            <w:hideMark/>
          </w:tcPr>
          <w:p w:rsidR="00DF5F0E" w:rsidRPr="00DF5F0E" w:rsidRDefault="00DF5F0E" w:rsidP="00DF5F0E">
            <w:pPr>
              <w:widowControl/>
              <w:jc w:val="left"/>
              <w:divId w:val="51775140"/>
              <w:rPr>
                <w:rFonts w:ascii="Arial" w:eastAsia="Times New Roman" w:hAnsi="Arial" w:cs="Arial"/>
                <w:kern w:val="0"/>
                <w:sz w:val="20"/>
              </w:rPr>
            </w:pPr>
            <w:r w:rsidRPr="00DF5F0E">
              <w:rPr>
                <w:rFonts w:ascii="Arial" w:eastAsia="Times New Roman" w:hAnsi="Arial" w:cs="Arial"/>
                <w:b/>
                <w:bCs/>
                <w:kern w:val="0"/>
                <w:sz w:val="20"/>
              </w:rPr>
              <w:t>Authors</w:t>
            </w:r>
            <w:r w:rsidRPr="00DF5F0E">
              <w:rPr>
                <w:rFonts w:ascii="Arial" w:eastAsia="Times New Roman" w:hAnsi="Arial" w:cs="Arial"/>
                <w:kern w:val="0"/>
                <w:sz w:val="20"/>
              </w:rPr>
              <w:br/>
              <w:t>Ying Wang, Megan K. Cox, George Coricor, Mary Mac Dougall, Rosa Serra</w:t>
            </w:r>
            <w:r w:rsidRPr="00DF5F0E">
              <w:rPr>
                <w:rFonts w:ascii="Arial" w:eastAsia="Times New Roman" w:hAnsi="Arial" w:cs="Arial"/>
                <w:kern w:val="0"/>
                <w:sz w:val="20"/>
              </w:rPr>
              <w:br/>
            </w:r>
            <w:r w:rsidRPr="00DF5F0E">
              <w:rPr>
                <w:rFonts w:ascii="Arial" w:eastAsia="Times New Roman" w:hAnsi="Arial" w:cs="Arial"/>
                <w:kern w:val="0"/>
                <w:sz w:val="20"/>
              </w:rPr>
              <w:br/>
            </w:r>
            <w:r w:rsidRPr="00DF5F0E">
              <w:rPr>
                <w:rFonts w:ascii="Arial" w:eastAsia="Times New Roman" w:hAnsi="Arial" w:cs="Arial"/>
                <w:b/>
                <w:bCs/>
                <w:kern w:val="0"/>
                <w:sz w:val="20"/>
              </w:rPr>
              <w:t>Abstract</w:t>
            </w:r>
            <w:r w:rsidRPr="00DF5F0E">
              <w:rPr>
                <w:rFonts w:ascii="Arial" w:eastAsia="Times New Roman" w:hAnsi="Arial" w:cs="Arial"/>
                <w:kern w:val="0"/>
                <w:sz w:val="20"/>
              </w:rPr>
              <w:br/>
              <w:t>It has been difficult to examine the role of TGF-ß in post-natal tooth development due to perinatal lethality in many of the signaling deficient mouse models. To address the role of Tgfbr2 in postnatal tooth development, we generated a mouse in which Tgfbr2 was deleted in odontoblast- and bone-producing mesenchyme. Osx-Cre;Tgfbr2fl/fl mice were generated (Tgfbr2cko) and post-natal tooth development was compared in Tgfbr2cko and control littermates. X-ray and μCT analysis showed that in Tgfbr2cko mice radicular dentin matrix density was reduced in the molars. Molar shape was abnormal and molar eruption was delayed in the mutant mice. Most significantly, defects in root formation, including failure of the root to elongate, were observed by postnatal day 10. Immunostaining for Keratin-14 (K14) was used to delineate Hertwig's epithelial root sheath (HERS). The results showed a delay in elongation and disorganization of the HERS in Tgfbr2cko mice. In addition, the HERS was maintained and the break up into epithelial rests was attenuated suggesting that Tgfbr2 acts on dental mesenchyme to indirectly regulate the formation and maintenance of the HERS. Altered odontoblast organization and reduced Dspp expression indicated that odontoblast differentiation was disrupted in the mutant mice likely contributing to the defect in root formation. Nevertheless, expression of Nfic, a key mesenchymal regulator of root development, was similar in Tgfbr2cko mice and controls. The number of osteoclasts in the bone surrounding the tooth was reduced and osteoblast differentiation was disrupted likely contributing to both root and eruption defects. We conclude that Tgfbr2 in dental mesenchyme and bone is required for tooth development particularly root formation.</w:t>
            </w:r>
            <w:r w:rsidRPr="00DF5F0E">
              <w:rPr>
                <w:rFonts w:ascii="Arial" w:eastAsia="Times New Roman" w:hAnsi="Arial" w:cs="Arial"/>
                <w:kern w:val="0"/>
                <w:sz w:val="20"/>
              </w:rPr>
              <w:br/>
            </w:r>
            <w:r w:rsidRPr="00DF5F0E">
              <w:rPr>
                <w:rFonts w:ascii="Arial" w:eastAsia="Times New Roman" w:hAnsi="Arial" w:cs="Arial"/>
                <w:kern w:val="0"/>
                <w:sz w:val="20"/>
              </w:rPr>
              <w:br/>
            </w:r>
            <w:r w:rsidRPr="00DF5F0E">
              <w:rPr>
                <w:rFonts w:ascii="Arial" w:eastAsia="Times New Roman" w:hAnsi="Arial" w:cs="Arial"/>
                <w:b/>
                <w:bCs/>
                <w:kern w:val="0"/>
                <w:sz w:val="20"/>
              </w:rPr>
              <w:t>Link to Article</w:t>
            </w:r>
            <w:r w:rsidRPr="00DF5F0E">
              <w:rPr>
                <w:rFonts w:ascii="Arial" w:eastAsia="Times New Roman" w:hAnsi="Arial" w:cs="Arial"/>
                <w:kern w:val="0"/>
                <w:sz w:val="20"/>
              </w:rPr>
              <w:br/>
            </w:r>
            <w:hyperlink r:id="rId15" w:history="1">
              <w:r w:rsidRPr="00DF5F0E">
                <w:rPr>
                  <w:rFonts w:ascii="Arial" w:eastAsia="Times New Roman" w:hAnsi="Arial" w:cs="Arial"/>
                  <w:color w:val="445AA9"/>
                  <w:kern w:val="0"/>
                  <w:sz w:val="20"/>
                  <w:u w:val="single"/>
                </w:rPr>
                <w:t>http://dx.doi.org/10.1016/j.ydbio.2013.08.003</w:t>
              </w:r>
            </w:hyperlink>
          </w:p>
        </w:tc>
      </w:tr>
    </w:tbl>
    <w:p w:rsidR="00BB59E6" w:rsidRDefault="00BB59E6">
      <w:pPr>
        <w:rPr>
          <w:rFonts w:ascii="Arial" w:hAnsi="Arial" w:cs="Arial"/>
        </w:rPr>
      </w:pPr>
    </w:p>
    <w:p w:rsidR="00DF5F0E" w:rsidRPr="00DF5F0E" w:rsidRDefault="00DF5F0E" w:rsidP="00DF5F0E">
      <w:pPr>
        <w:pBdr>
          <w:top w:val="dotted" w:sz="2" w:space="0" w:color="C7C7C7"/>
          <w:left w:val="dotted" w:sz="2" w:space="0" w:color="C7C7C7"/>
          <w:bottom w:val="dotted" w:sz="2" w:space="0" w:color="C7C7C7"/>
          <w:right w:val="dotted" w:sz="2" w:space="0" w:color="C7C7C7"/>
        </w:pBdr>
        <w:spacing w:before="60" w:after="60"/>
        <w:outlineLvl w:val="4"/>
        <w:rPr>
          <w:rFonts w:ascii="Trebuchet MS" w:eastAsia="Times New Roman" w:hAnsi="Trebuchet MS" w:cs="Arial"/>
          <w:b/>
          <w:bCs/>
          <w:color w:val="1A4292"/>
          <w:kern w:val="0"/>
          <w:sz w:val="27"/>
          <w:szCs w:val="27"/>
        </w:rPr>
      </w:pPr>
      <w:r>
        <w:rPr>
          <w:rFonts w:ascii="Arial" w:hAnsi="Arial" w:cs="Arial" w:hint="eastAsia"/>
        </w:rPr>
        <w:t>9.</w:t>
      </w:r>
      <w:r w:rsidRPr="00DF5F0E">
        <w:rPr>
          <w:rFonts w:ascii="Arial" w:hAnsi="Arial" w:cs="Arial"/>
          <w:b/>
          <w:bCs/>
          <w:color w:val="1A4292"/>
          <w:sz w:val="20"/>
        </w:rPr>
        <w:t xml:space="preserve"> </w:t>
      </w:r>
      <w:hyperlink r:id="rId16" w:history="1">
        <w:r w:rsidRPr="00DF5F0E">
          <w:rPr>
            <w:rFonts w:ascii="Arial" w:eastAsia="Times New Roman" w:hAnsi="Arial" w:cs="Arial"/>
            <w:b/>
            <w:bCs/>
            <w:color w:val="445AA9"/>
            <w:kern w:val="0"/>
            <w:sz w:val="20"/>
          </w:rPr>
          <w:t>Comparable Effects of Alendronate and Strontium Ranelate on Femur in Ovariectomized Rats</w:t>
        </w:r>
      </w:hyperlink>
    </w:p>
    <w:tbl>
      <w:tblPr>
        <w:tblW w:w="0" w:type="auto"/>
        <w:tblCellSpacing w:w="0" w:type="dxa"/>
        <w:tblCellMar>
          <w:top w:w="15" w:type="dxa"/>
          <w:left w:w="15" w:type="dxa"/>
          <w:bottom w:w="15" w:type="dxa"/>
          <w:right w:w="15" w:type="dxa"/>
        </w:tblCellMar>
        <w:tblLook w:val="04A0"/>
      </w:tblPr>
      <w:tblGrid>
        <w:gridCol w:w="8396"/>
      </w:tblGrid>
      <w:tr w:rsidR="00DF5F0E" w:rsidRPr="00DF5F0E" w:rsidTr="00DF5F0E">
        <w:trPr>
          <w:tblCellSpacing w:w="0" w:type="dxa"/>
        </w:trPr>
        <w:tc>
          <w:tcPr>
            <w:tcW w:w="0" w:type="auto"/>
            <w:tcMar>
              <w:top w:w="45" w:type="dxa"/>
              <w:left w:w="45" w:type="dxa"/>
              <w:bottom w:w="45" w:type="dxa"/>
              <w:right w:w="45" w:type="dxa"/>
            </w:tcMar>
            <w:hideMark/>
          </w:tcPr>
          <w:p w:rsidR="00DF5F0E" w:rsidRPr="00DF5F0E" w:rsidRDefault="00DF5F0E" w:rsidP="00DF5F0E">
            <w:pPr>
              <w:widowControl/>
              <w:jc w:val="left"/>
              <w:divId w:val="282928743"/>
              <w:rPr>
                <w:rFonts w:ascii="Arial" w:eastAsia="Times New Roman" w:hAnsi="Arial" w:cs="Arial"/>
                <w:kern w:val="0"/>
                <w:sz w:val="20"/>
              </w:rPr>
            </w:pPr>
            <w:r w:rsidRPr="00DF5F0E">
              <w:rPr>
                <w:rFonts w:ascii="Arial" w:eastAsia="Times New Roman" w:hAnsi="Arial" w:cs="Arial"/>
                <w:b/>
                <w:bCs/>
                <w:kern w:val="0"/>
                <w:sz w:val="20"/>
              </w:rPr>
              <w:t>Authors</w:t>
            </w:r>
            <w:r w:rsidRPr="00DF5F0E">
              <w:rPr>
                <w:rFonts w:ascii="Arial" w:eastAsia="Times New Roman" w:hAnsi="Arial" w:cs="Arial"/>
                <w:kern w:val="0"/>
                <w:sz w:val="20"/>
              </w:rPr>
              <w:br/>
              <w:t>BaiLing Chen, YiQiang Li, XiaoXi Yang, DengHui Xie</w:t>
            </w:r>
            <w:r w:rsidRPr="00DF5F0E">
              <w:rPr>
                <w:rFonts w:ascii="Arial" w:eastAsia="Times New Roman" w:hAnsi="Arial" w:cs="Arial"/>
                <w:kern w:val="0"/>
                <w:sz w:val="20"/>
              </w:rPr>
              <w:br/>
            </w:r>
            <w:r w:rsidRPr="00DF5F0E">
              <w:rPr>
                <w:rFonts w:ascii="Arial" w:eastAsia="Times New Roman" w:hAnsi="Arial" w:cs="Arial"/>
                <w:kern w:val="0"/>
                <w:sz w:val="20"/>
              </w:rPr>
              <w:br/>
            </w:r>
            <w:r w:rsidRPr="00DF5F0E">
              <w:rPr>
                <w:rFonts w:ascii="Arial" w:eastAsia="Times New Roman" w:hAnsi="Arial" w:cs="Arial"/>
                <w:b/>
                <w:bCs/>
                <w:kern w:val="0"/>
                <w:sz w:val="20"/>
              </w:rPr>
              <w:t>Abstract</w:t>
            </w:r>
            <w:r w:rsidRPr="00DF5F0E">
              <w:rPr>
                <w:rFonts w:ascii="Arial" w:eastAsia="Times New Roman" w:hAnsi="Arial" w:cs="Arial"/>
                <w:kern w:val="0"/>
                <w:sz w:val="20"/>
              </w:rPr>
              <w:br/>
              <w:t>This study compared the effects of alendronate (ALN) and strontium ranelate (SR) on bone mineral density (BMD), bone histomorphometry, and biomechanics in ovariectomized (OVX) rats. We randomly assigned 48 3-month-old female Sprague–Dawley rats to four groups: sham, OVX, ALN, and SR. Rats in the OVX, ALN, and SR groups received bilateral OVX. Rats in the ALN and SR groups were orally administrated ALN (7 mg/kg/week) and SR (500 mg/kg/day). Rats in the sham and OVX groups were treated with saline. All treatments continued for 12 weeks. Femoral BMD examination, distal femoral bone histomorphometry analysis, and biomechanical tests at the femoral diaphysis and metaphysis were performed to evaluate the effects of treatments in OVX rats. Results showed that both ALN and SR significantly increased femoral BMD (total femur, diaphyseal BMD, and distal metaphyseal BMD), distal femoral bone histomorphometric parameters (BV/TV, Tb.N, and Tb.Th), and femoral biomechanical parameters (maximum load, failure load, stiffness) compared with the OVX group (P &lt; 0.05). No differences were found between ALN and SR in increasing femoral BMD, distal femoral bone histomorphometric parameters (BV/TV, Tb.N, and Tb.Th), and femoral diaphysis biomechanical parameters (maximum load, failure load, stiffness) (P &gt; 0.05). The SR group was inferior to the ALN group in femoral metaphysis biomechanical parameters (P &lt; 0.05). In conclusion, ALN (7 mg/kg/week) and SR (500 mg/kg/day) have similar effects by increasing BMD, distal femoral bone histomorphometric parameters, and femoral metaphysis biomechanical properties. Although ALN has greater effects than SR on distal femoral metaphysis biomechanical properties, in general, ALN and SR have comparable effects on the femur in OVX rats.</w:t>
            </w:r>
            <w:r w:rsidRPr="00DF5F0E">
              <w:rPr>
                <w:rFonts w:ascii="Arial" w:eastAsia="Times New Roman" w:hAnsi="Arial" w:cs="Arial"/>
                <w:kern w:val="0"/>
                <w:sz w:val="20"/>
              </w:rPr>
              <w:br/>
            </w:r>
            <w:r w:rsidRPr="00DF5F0E">
              <w:rPr>
                <w:rFonts w:ascii="Arial" w:eastAsia="Times New Roman" w:hAnsi="Arial" w:cs="Arial"/>
                <w:kern w:val="0"/>
                <w:sz w:val="20"/>
              </w:rPr>
              <w:br/>
            </w:r>
            <w:r w:rsidRPr="00DF5F0E">
              <w:rPr>
                <w:rFonts w:ascii="Arial" w:eastAsia="Times New Roman" w:hAnsi="Arial" w:cs="Arial"/>
                <w:b/>
                <w:bCs/>
                <w:kern w:val="0"/>
                <w:sz w:val="20"/>
              </w:rPr>
              <w:t>Link to Article</w:t>
            </w:r>
            <w:r w:rsidRPr="00DF5F0E">
              <w:rPr>
                <w:rFonts w:ascii="Arial" w:eastAsia="Times New Roman" w:hAnsi="Arial" w:cs="Arial"/>
                <w:kern w:val="0"/>
                <w:sz w:val="20"/>
              </w:rPr>
              <w:br/>
            </w:r>
            <w:hyperlink r:id="rId17" w:history="1">
              <w:r w:rsidRPr="00DF5F0E">
                <w:rPr>
                  <w:rFonts w:ascii="Arial" w:eastAsia="Times New Roman" w:hAnsi="Arial" w:cs="Arial"/>
                  <w:color w:val="445AA9"/>
                  <w:kern w:val="0"/>
                  <w:sz w:val="20"/>
                  <w:u w:val="single"/>
                </w:rPr>
                <w:t>http://dx.doi.org/10.1007/s00223-013-9765-z</w:t>
              </w:r>
            </w:hyperlink>
          </w:p>
        </w:tc>
      </w:tr>
    </w:tbl>
    <w:p w:rsidR="00BB59E6" w:rsidRDefault="00BB59E6">
      <w:pPr>
        <w:rPr>
          <w:rFonts w:ascii="Arial" w:hAnsi="Arial" w:cs="Arial"/>
        </w:rPr>
      </w:pPr>
    </w:p>
    <w:p w:rsidR="00BB59E6" w:rsidRDefault="00BB59E6">
      <w:pPr>
        <w:rPr>
          <w:rFonts w:ascii="Arial" w:hAnsi="Arial" w:cs="Arial"/>
        </w:rPr>
      </w:pPr>
    </w:p>
    <w:p w:rsidR="00DF5F0E" w:rsidRPr="00DF5F0E" w:rsidRDefault="00DF5F0E" w:rsidP="00DF5F0E">
      <w:pPr>
        <w:pBdr>
          <w:top w:val="dotted" w:sz="2" w:space="0" w:color="C7C7C7"/>
          <w:left w:val="dotted" w:sz="2" w:space="0" w:color="C7C7C7"/>
          <w:bottom w:val="dotted" w:sz="2" w:space="0" w:color="C7C7C7"/>
          <w:right w:val="dotted" w:sz="2" w:space="0" w:color="C7C7C7"/>
        </w:pBdr>
        <w:spacing w:before="60" w:after="60"/>
        <w:outlineLvl w:val="4"/>
        <w:rPr>
          <w:rFonts w:ascii="Trebuchet MS" w:eastAsia="Times New Roman" w:hAnsi="Trebuchet MS" w:cs="Arial"/>
          <w:b/>
          <w:bCs/>
          <w:color w:val="1A4292"/>
          <w:kern w:val="0"/>
          <w:sz w:val="27"/>
          <w:szCs w:val="27"/>
        </w:rPr>
      </w:pPr>
      <w:r>
        <w:rPr>
          <w:rFonts w:ascii="Arial" w:hAnsi="Arial" w:cs="Arial" w:hint="eastAsia"/>
        </w:rPr>
        <w:t>10</w:t>
      </w:r>
      <w:r w:rsidRPr="00DF5F0E">
        <w:rPr>
          <w:rFonts w:ascii="Arial" w:hAnsi="Arial" w:cs="Arial"/>
          <w:sz w:val="20"/>
        </w:rPr>
        <w:t>.</w:t>
      </w:r>
      <w:r w:rsidRPr="00DF5F0E">
        <w:rPr>
          <w:rFonts w:ascii="Arial" w:hAnsi="Arial" w:cs="Arial"/>
          <w:b/>
          <w:bCs/>
          <w:color w:val="1A4292"/>
          <w:sz w:val="20"/>
        </w:rPr>
        <w:t xml:space="preserve"> </w:t>
      </w:r>
      <w:hyperlink r:id="rId18" w:history="1">
        <w:r w:rsidRPr="00DF5F0E">
          <w:rPr>
            <w:rFonts w:ascii="Arial" w:eastAsia="Times New Roman" w:hAnsi="Arial" w:cs="Arial"/>
            <w:b/>
            <w:bCs/>
            <w:color w:val="445AA9"/>
            <w:kern w:val="0"/>
            <w:sz w:val="20"/>
          </w:rPr>
          <w:t>Recombinant human bone morphogenetic protein-2 stimulates bone formation during interfrontal suture expansion in rabbits</w:t>
        </w:r>
      </w:hyperlink>
    </w:p>
    <w:tbl>
      <w:tblPr>
        <w:tblW w:w="0" w:type="auto"/>
        <w:tblCellSpacing w:w="0" w:type="dxa"/>
        <w:tblCellMar>
          <w:top w:w="15" w:type="dxa"/>
          <w:left w:w="15" w:type="dxa"/>
          <w:bottom w:w="15" w:type="dxa"/>
          <w:right w:w="15" w:type="dxa"/>
        </w:tblCellMar>
        <w:tblLook w:val="04A0"/>
      </w:tblPr>
      <w:tblGrid>
        <w:gridCol w:w="8396"/>
      </w:tblGrid>
      <w:tr w:rsidR="00DF5F0E" w:rsidRPr="00DF5F0E" w:rsidTr="00DF5F0E">
        <w:trPr>
          <w:tblCellSpacing w:w="0" w:type="dxa"/>
        </w:trPr>
        <w:tc>
          <w:tcPr>
            <w:tcW w:w="0" w:type="auto"/>
            <w:tcMar>
              <w:top w:w="45" w:type="dxa"/>
              <w:left w:w="45" w:type="dxa"/>
              <w:bottom w:w="45" w:type="dxa"/>
              <w:right w:w="45" w:type="dxa"/>
            </w:tcMar>
            <w:hideMark/>
          </w:tcPr>
          <w:p w:rsidR="00DF5F0E" w:rsidRPr="00DF5F0E" w:rsidRDefault="00DF5F0E" w:rsidP="00DF5F0E">
            <w:pPr>
              <w:widowControl/>
              <w:jc w:val="left"/>
              <w:rPr>
                <w:rFonts w:ascii="Arial" w:eastAsia="Times New Roman" w:hAnsi="Arial" w:cs="Arial"/>
                <w:kern w:val="0"/>
                <w:sz w:val="20"/>
              </w:rPr>
            </w:pPr>
            <w:r w:rsidRPr="00DF5F0E">
              <w:rPr>
                <w:rFonts w:ascii="Arial" w:eastAsia="Times New Roman" w:hAnsi="Arial" w:cs="Arial"/>
                <w:b/>
                <w:bCs/>
                <w:kern w:val="0"/>
                <w:sz w:val="20"/>
              </w:rPr>
              <w:t>Authors</w:t>
            </w:r>
          </w:p>
          <w:p w:rsidR="00DF5F0E" w:rsidRPr="00DF5F0E" w:rsidRDefault="00DF5F0E" w:rsidP="00DF5F0E">
            <w:pPr>
              <w:widowControl/>
              <w:jc w:val="left"/>
              <w:rPr>
                <w:rFonts w:ascii="Arial" w:eastAsia="Times New Roman" w:hAnsi="Arial" w:cs="Arial"/>
                <w:kern w:val="0"/>
                <w:sz w:val="20"/>
              </w:rPr>
            </w:pPr>
            <w:r w:rsidRPr="00DF5F0E">
              <w:rPr>
                <w:rFonts w:ascii="Arial" w:eastAsia="Times New Roman" w:hAnsi="Arial" w:cs="Arial"/>
                <w:kern w:val="0"/>
                <w:sz w:val="20"/>
              </w:rPr>
              <w:t>Sean Shih-Yao Liu, Haisong Xu, Jun Sun, Elias Kontogiorgos, Patrick R. Whittington, Kenner G. Misner, Hee-Moon Kyung, Peter H. Buschang, Lynne A. Opperman</w:t>
            </w:r>
            <w:r w:rsidRPr="00DF5F0E">
              <w:rPr>
                <w:rFonts w:ascii="Arial" w:eastAsia="Times New Roman" w:hAnsi="Arial" w:cs="Arial"/>
                <w:kern w:val="0"/>
                <w:sz w:val="20"/>
              </w:rPr>
              <w:br/>
            </w:r>
            <w:r w:rsidRPr="00DF5F0E">
              <w:rPr>
                <w:rFonts w:ascii="Arial" w:eastAsia="Times New Roman" w:hAnsi="Arial" w:cs="Arial"/>
                <w:kern w:val="0"/>
                <w:sz w:val="20"/>
              </w:rPr>
              <w:br/>
            </w:r>
            <w:r w:rsidRPr="00DF5F0E">
              <w:rPr>
                <w:rFonts w:ascii="Arial" w:eastAsia="Times New Roman" w:hAnsi="Arial" w:cs="Arial"/>
                <w:b/>
                <w:bCs/>
                <w:kern w:val="0"/>
                <w:sz w:val="20"/>
              </w:rPr>
              <w:t>Abstract</w:t>
            </w:r>
            <w:r w:rsidRPr="00DF5F0E">
              <w:rPr>
                <w:rFonts w:ascii="Arial" w:eastAsia="Times New Roman" w:hAnsi="Arial" w:cs="Arial"/>
                <w:kern w:val="0"/>
                <w:sz w:val="20"/>
              </w:rPr>
              <w:br/>
              <w:t>Introduction: Suture expansion stimulates bone growth to correct craniofacial deficiencies but has a high potential of treatment relapse. The objective of this study was to investigate whether there is a dose-dependent relationship between the recombinant human bone morphogenetic protein-2 (rhBMP-2) and bone formation during suture expansion. Methods: Fifty 6-week-old male New Zealand white rabbits were randomly assigned to 5 groups to receive 0 (control), 0.01, 0.025, 0.1, or 0.4 mg/mL of rhBMP-2 delivered by absorbable collagen sponge placed over the interfrontal suture. The suture was expanded for 33 days by 200 g of constant force via a spring anchored with 2 miniscrew implants. Distance of suture expansion, suture volume, and cross-sectional area after expansion were measured using radiographs with bone markers and microcomputed tomography. Suture widths and mineralization appositional rates were calculated based on the widths between bone labels under an epifluorescent microscope. Software (Multilevel Win 2.0; University of Bristol, Bristol, United Kingdom) was used to model distance of suture expansion over time as polynomials to compare group differences. Wilcoxon signed rank tests were performed to compare the suture volume and cross-sectional area, mineral apposition rate, and suture width between groups. The significance level was set at P = 0.05. Results: Whereas the sutures were expanded in all groups, sutures were expanded by significantly greater amounts in the control and the 0.01 mg/mL groups without fusing the sutures than in the 0.025, 0.1, and 0.4 mg/mL groups with fusing sutures. Compared with the controls, the 0.01 mg/mL group showed significantly lower suture volumes, cross-sectional areas, and suture widths after expansion. The mineral apposition rate was significantly higher in the 0.01 mg/mL group than in the controls from days 10 to 30. Conclusions: The 0.01 mg/mL dose of rhBMP-2 delivered by absorbable collagen sponge can stimulate bone formation at the bony edges of the suture during suture expansion; however, higher concentrations cause suture fusion. With an appropriate concentration, rhBMP-2 might facilitate suture expansion for clinical uses.</w:t>
            </w:r>
            <w:r w:rsidRPr="00DF5F0E">
              <w:rPr>
                <w:rFonts w:ascii="Arial" w:eastAsia="Times New Roman" w:hAnsi="Arial" w:cs="Arial"/>
                <w:kern w:val="0"/>
                <w:sz w:val="20"/>
              </w:rPr>
              <w:br/>
            </w:r>
            <w:r w:rsidRPr="00DF5F0E">
              <w:rPr>
                <w:rFonts w:ascii="Arial" w:eastAsia="Times New Roman" w:hAnsi="Arial" w:cs="Arial"/>
                <w:kern w:val="0"/>
                <w:sz w:val="20"/>
              </w:rPr>
              <w:br/>
            </w:r>
            <w:r w:rsidRPr="00DF5F0E">
              <w:rPr>
                <w:rFonts w:ascii="Arial" w:eastAsia="Times New Roman" w:hAnsi="Arial" w:cs="Arial"/>
                <w:b/>
                <w:bCs/>
                <w:kern w:val="0"/>
                <w:sz w:val="20"/>
              </w:rPr>
              <w:t>Link to Article</w:t>
            </w:r>
            <w:r w:rsidRPr="00DF5F0E">
              <w:rPr>
                <w:rFonts w:ascii="Arial" w:eastAsia="Times New Roman" w:hAnsi="Arial" w:cs="Arial"/>
                <w:kern w:val="0"/>
                <w:sz w:val="20"/>
              </w:rPr>
              <w:br/>
            </w:r>
            <w:hyperlink r:id="rId19" w:history="1">
              <w:r w:rsidRPr="00DF5F0E">
                <w:rPr>
                  <w:rFonts w:ascii="Arial" w:eastAsia="Times New Roman" w:hAnsi="Arial" w:cs="Arial"/>
                  <w:color w:val="445AA9"/>
                  <w:kern w:val="0"/>
                  <w:sz w:val="20"/>
                  <w:u w:val="single"/>
                </w:rPr>
                <w:t>http://dx.doi.org/10.1016/j.ajodo.2013.03.017</w:t>
              </w:r>
            </w:hyperlink>
          </w:p>
        </w:tc>
      </w:tr>
    </w:tbl>
    <w:p w:rsidR="00BB59E6" w:rsidRDefault="00BB59E6">
      <w:pPr>
        <w:rPr>
          <w:rFonts w:ascii="Arial" w:hAnsi="Arial" w:cs="Arial"/>
        </w:rPr>
      </w:pPr>
    </w:p>
    <w:p w:rsidR="00BB59E6" w:rsidRDefault="00BB59E6">
      <w:pPr>
        <w:rPr>
          <w:rFonts w:ascii="Arial" w:hAnsi="Arial" w:cs="Arial"/>
        </w:rPr>
      </w:pPr>
    </w:p>
    <w:p w:rsidR="00DF5F0E" w:rsidRPr="00DF5F0E" w:rsidRDefault="00DF5F0E" w:rsidP="00DF5F0E">
      <w:pPr>
        <w:pBdr>
          <w:top w:val="dotted" w:sz="2" w:space="0" w:color="C7C7C7"/>
          <w:left w:val="dotted" w:sz="2" w:space="0" w:color="C7C7C7"/>
          <w:bottom w:val="dotted" w:sz="2" w:space="0" w:color="C7C7C7"/>
          <w:right w:val="dotted" w:sz="2" w:space="0" w:color="C7C7C7"/>
        </w:pBdr>
        <w:spacing w:before="60" w:after="60"/>
        <w:outlineLvl w:val="4"/>
        <w:rPr>
          <w:rFonts w:ascii="Trebuchet MS" w:eastAsia="Times New Roman" w:hAnsi="Trebuchet MS" w:cs="Arial"/>
          <w:b/>
          <w:bCs/>
          <w:color w:val="1A4292"/>
          <w:kern w:val="0"/>
          <w:sz w:val="27"/>
          <w:szCs w:val="27"/>
        </w:rPr>
      </w:pPr>
      <w:r>
        <w:rPr>
          <w:rFonts w:ascii="Arial" w:hAnsi="Arial" w:cs="Arial" w:hint="eastAsia"/>
        </w:rPr>
        <w:t>11.</w:t>
      </w:r>
      <w:r w:rsidRPr="00DF5F0E">
        <w:rPr>
          <w:rFonts w:ascii="Trebuchet MS" w:hAnsi="Trebuchet MS" w:cs="Arial"/>
          <w:b/>
          <w:bCs/>
          <w:color w:val="1A4292"/>
          <w:sz w:val="27"/>
          <w:szCs w:val="27"/>
        </w:rPr>
        <w:t xml:space="preserve"> </w:t>
      </w:r>
      <w:hyperlink r:id="rId20" w:history="1">
        <w:r w:rsidRPr="00795B44">
          <w:rPr>
            <w:rFonts w:ascii="Arial" w:eastAsia="Times New Roman" w:hAnsi="Arial" w:cs="Arial"/>
            <w:b/>
            <w:bCs/>
            <w:color w:val="445AA9"/>
            <w:kern w:val="0"/>
            <w:sz w:val="20"/>
          </w:rPr>
          <w:t>Connexin 43 deficiency desensitizes bone to the effects of mechanical unloading through modulation of both arms of bone remodeling</w:t>
        </w:r>
      </w:hyperlink>
    </w:p>
    <w:tbl>
      <w:tblPr>
        <w:tblW w:w="0" w:type="auto"/>
        <w:tblCellSpacing w:w="0" w:type="dxa"/>
        <w:tblCellMar>
          <w:top w:w="15" w:type="dxa"/>
          <w:left w:w="15" w:type="dxa"/>
          <w:bottom w:w="15" w:type="dxa"/>
          <w:right w:w="15" w:type="dxa"/>
        </w:tblCellMar>
        <w:tblLook w:val="04A0"/>
      </w:tblPr>
      <w:tblGrid>
        <w:gridCol w:w="8396"/>
      </w:tblGrid>
      <w:tr w:rsidR="00DF5F0E" w:rsidRPr="00DF5F0E" w:rsidTr="00DF5F0E">
        <w:trPr>
          <w:tblCellSpacing w:w="0" w:type="dxa"/>
        </w:trPr>
        <w:tc>
          <w:tcPr>
            <w:tcW w:w="0" w:type="auto"/>
            <w:tcMar>
              <w:top w:w="45" w:type="dxa"/>
              <w:left w:w="45" w:type="dxa"/>
              <w:bottom w:w="45" w:type="dxa"/>
              <w:right w:w="45" w:type="dxa"/>
            </w:tcMar>
            <w:hideMark/>
          </w:tcPr>
          <w:p w:rsidR="00DF5F0E" w:rsidRPr="00DF5F0E" w:rsidRDefault="00DF5F0E" w:rsidP="00DF5F0E">
            <w:pPr>
              <w:widowControl/>
              <w:jc w:val="left"/>
              <w:divId w:val="569080497"/>
              <w:rPr>
                <w:rFonts w:ascii="Arial" w:eastAsia="Times New Roman" w:hAnsi="Arial" w:cs="Arial"/>
                <w:kern w:val="0"/>
                <w:sz w:val="20"/>
              </w:rPr>
            </w:pPr>
            <w:r w:rsidRPr="00DF5F0E">
              <w:rPr>
                <w:rFonts w:ascii="Arial" w:eastAsia="Times New Roman" w:hAnsi="Arial" w:cs="Arial"/>
                <w:b/>
                <w:bCs/>
                <w:kern w:val="0"/>
                <w:sz w:val="20"/>
              </w:rPr>
              <w:t>Authors</w:t>
            </w:r>
            <w:r w:rsidRPr="00DF5F0E">
              <w:rPr>
                <w:rFonts w:ascii="Arial" w:eastAsia="Times New Roman" w:hAnsi="Arial" w:cs="Arial"/>
                <w:kern w:val="0"/>
                <w:sz w:val="20"/>
              </w:rPr>
              <w:br/>
              <w:t>Shane A. Lloyd, Alayna E. Loiselle, Yue Zhang, Henry J. Donahue</w:t>
            </w:r>
            <w:r w:rsidRPr="00DF5F0E">
              <w:rPr>
                <w:rFonts w:ascii="Arial" w:eastAsia="Times New Roman" w:hAnsi="Arial" w:cs="Arial"/>
                <w:kern w:val="0"/>
                <w:sz w:val="20"/>
              </w:rPr>
              <w:br/>
            </w:r>
            <w:r w:rsidRPr="00DF5F0E">
              <w:rPr>
                <w:rFonts w:ascii="Arial" w:eastAsia="Times New Roman" w:hAnsi="Arial" w:cs="Arial"/>
                <w:kern w:val="0"/>
                <w:sz w:val="20"/>
              </w:rPr>
              <w:br/>
            </w:r>
            <w:r w:rsidRPr="00DF5F0E">
              <w:rPr>
                <w:rFonts w:ascii="Arial" w:eastAsia="Times New Roman" w:hAnsi="Arial" w:cs="Arial"/>
                <w:b/>
                <w:bCs/>
                <w:kern w:val="0"/>
                <w:sz w:val="20"/>
              </w:rPr>
              <w:t>Abstract</w:t>
            </w:r>
            <w:r w:rsidRPr="00DF5F0E">
              <w:rPr>
                <w:rFonts w:ascii="Arial" w:eastAsia="Times New Roman" w:hAnsi="Arial" w:cs="Arial"/>
                <w:kern w:val="0"/>
                <w:sz w:val="20"/>
              </w:rPr>
              <w:br/>
              <w:t>Connexin 43 (Cx43) is a gap junction protein that plays an integral role in the skeletal response to mechanical loading and unloading. In a previous study, we demonstrated preservation of trabecular bone mass and cortical bone formation rate in mice with an osteoblast/osteocyte-selective deficiency of Cx43 (cKO) following mechanical unloading via hindlimb suspension (HLS). In the present study, we sought to define the potential mechanisms underlying this response. Following three weeks of HLS, mRNA levels of Sost were significantly greater in wild-type (WT)-Suspended mice vs. WT-Control, while there was no difference between cKO control and cKO-Suspended. Unloading-induced decreases in P1NP, a serum marker of bone formation, were also attenuated in cKO-Suspended. The proportion of sclerostin-positive osteocytes was significantly lower in cKO-Control vs. WT-Control (− 72%, p &lt; 0.05), a difference accounted for by the presence of numerous empty lacunae in the cortical bone of cKO vs. WT. Abundant TUNEL staining was present throughout the cortical bone of the tibia and femur, suggesting an apoptotic process. There was no difference in empty lacunae in the trabecular bone of the tibia or femur. Trabecular and cortical osteoclast indices were lower in cKO-Suspended vs. WT-Suspended; however, mRNA levels of the gene encoding RANKL increased similarly in both genotypes. Connexin 43 deficient mice experience attenuated sclerostin-mediated suppression of cortical bone formation and lower cortical osteoclast activity during unloading. Preservation of trabecular bone mass and attenuated osteoclast activity during unloading, despite an apparent lack of effect on osteocyte viability at this site, suggests that an additional mechanism independent of osteocyte apoptosis may also be important. These findings indicate that Cx43 is able to modulate both arms of bone remodeling during unloading.</w:t>
            </w:r>
            <w:r w:rsidRPr="00DF5F0E">
              <w:rPr>
                <w:rFonts w:ascii="Arial" w:eastAsia="Times New Roman" w:hAnsi="Arial" w:cs="Arial"/>
                <w:kern w:val="0"/>
                <w:sz w:val="20"/>
              </w:rPr>
              <w:br/>
            </w:r>
            <w:r w:rsidRPr="00DF5F0E">
              <w:rPr>
                <w:rFonts w:ascii="Arial" w:eastAsia="Times New Roman" w:hAnsi="Arial" w:cs="Arial"/>
                <w:kern w:val="0"/>
                <w:sz w:val="20"/>
              </w:rPr>
              <w:br/>
            </w:r>
            <w:r w:rsidRPr="00DF5F0E">
              <w:rPr>
                <w:rFonts w:ascii="Arial" w:eastAsia="Times New Roman" w:hAnsi="Arial" w:cs="Arial"/>
                <w:b/>
                <w:bCs/>
                <w:kern w:val="0"/>
                <w:sz w:val="20"/>
              </w:rPr>
              <w:t>Link to Article</w:t>
            </w:r>
            <w:r w:rsidRPr="00DF5F0E">
              <w:rPr>
                <w:rFonts w:ascii="Arial" w:eastAsia="Times New Roman" w:hAnsi="Arial" w:cs="Arial"/>
                <w:kern w:val="0"/>
                <w:sz w:val="20"/>
              </w:rPr>
              <w:br/>
            </w:r>
            <w:hyperlink r:id="rId21" w:history="1">
              <w:r w:rsidRPr="00DF5F0E">
                <w:rPr>
                  <w:rFonts w:ascii="Arial" w:eastAsia="Times New Roman" w:hAnsi="Arial" w:cs="Arial"/>
                  <w:color w:val="445AA9"/>
                  <w:kern w:val="0"/>
                  <w:sz w:val="20"/>
                  <w:u w:val="single"/>
                </w:rPr>
                <w:t>http://dx.doi.org/10.1016/j.bone.2013.07.022</w:t>
              </w:r>
            </w:hyperlink>
          </w:p>
        </w:tc>
      </w:tr>
    </w:tbl>
    <w:p w:rsidR="00BB59E6" w:rsidRDefault="00BB59E6">
      <w:pPr>
        <w:rPr>
          <w:rFonts w:ascii="Arial" w:hAnsi="Arial" w:cs="Arial"/>
        </w:rPr>
      </w:pPr>
    </w:p>
    <w:p w:rsidR="00795B44" w:rsidRPr="00795B44" w:rsidRDefault="00795B44" w:rsidP="00795B44">
      <w:pPr>
        <w:pBdr>
          <w:top w:val="dotted" w:sz="2" w:space="0" w:color="C7C7C7"/>
          <w:left w:val="dotted" w:sz="2" w:space="0" w:color="C7C7C7"/>
          <w:bottom w:val="dotted" w:sz="2" w:space="0" w:color="C7C7C7"/>
          <w:right w:val="dotted" w:sz="2" w:space="0" w:color="C7C7C7"/>
        </w:pBdr>
        <w:spacing w:before="60" w:after="60"/>
        <w:outlineLvl w:val="4"/>
        <w:rPr>
          <w:rFonts w:ascii="Trebuchet MS" w:eastAsia="Times New Roman" w:hAnsi="Trebuchet MS" w:cs="Arial"/>
          <w:b/>
          <w:bCs/>
          <w:color w:val="1A4292"/>
          <w:kern w:val="0"/>
          <w:sz w:val="27"/>
          <w:szCs w:val="27"/>
        </w:rPr>
      </w:pPr>
      <w:r>
        <w:rPr>
          <w:rFonts w:ascii="Arial" w:hAnsi="Arial" w:cs="Arial" w:hint="eastAsia"/>
        </w:rPr>
        <w:t>12.</w:t>
      </w:r>
      <w:r w:rsidRPr="00795B44">
        <w:rPr>
          <w:rFonts w:ascii="Arial" w:hAnsi="Arial" w:cs="Arial"/>
          <w:b/>
          <w:bCs/>
          <w:color w:val="1A4292"/>
          <w:sz w:val="20"/>
        </w:rPr>
        <w:t xml:space="preserve"> </w:t>
      </w:r>
      <w:hyperlink r:id="rId22" w:history="1">
        <w:r w:rsidRPr="00795B44">
          <w:rPr>
            <w:rFonts w:ascii="Arial" w:eastAsia="Times New Roman" w:hAnsi="Arial" w:cs="Arial"/>
            <w:b/>
            <w:bCs/>
            <w:color w:val="445AA9"/>
            <w:kern w:val="0"/>
            <w:sz w:val="20"/>
          </w:rPr>
          <w:t>Neonatal iron deficiency causes abnormal phosphate metabolism by elevating FGF23 in normal and ADHR mice</w:t>
        </w:r>
      </w:hyperlink>
    </w:p>
    <w:tbl>
      <w:tblPr>
        <w:tblW w:w="0" w:type="auto"/>
        <w:tblCellSpacing w:w="0" w:type="dxa"/>
        <w:tblCellMar>
          <w:top w:w="15" w:type="dxa"/>
          <w:left w:w="15" w:type="dxa"/>
          <w:bottom w:w="15" w:type="dxa"/>
          <w:right w:w="15" w:type="dxa"/>
        </w:tblCellMar>
        <w:tblLook w:val="04A0"/>
      </w:tblPr>
      <w:tblGrid>
        <w:gridCol w:w="8396"/>
      </w:tblGrid>
      <w:tr w:rsidR="00795B44" w:rsidRPr="00795B44" w:rsidTr="00795B44">
        <w:trPr>
          <w:tblCellSpacing w:w="0" w:type="dxa"/>
        </w:trPr>
        <w:tc>
          <w:tcPr>
            <w:tcW w:w="0" w:type="auto"/>
            <w:tcMar>
              <w:top w:w="45" w:type="dxa"/>
              <w:left w:w="45" w:type="dxa"/>
              <w:bottom w:w="45" w:type="dxa"/>
              <w:right w:w="45" w:type="dxa"/>
            </w:tcMar>
            <w:hideMark/>
          </w:tcPr>
          <w:p w:rsidR="00795B44" w:rsidRPr="00795B44" w:rsidRDefault="00795B44" w:rsidP="00795B44">
            <w:pPr>
              <w:widowControl/>
              <w:jc w:val="left"/>
              <w:divId w:val="1647929195"/>
              <w:rPr>
                <w:rFonts w:ascii="Arial" w:eastAsia="Times New Roman" w:hAnsi="Arial" w:cs="Arial"/>
                <w:kern w:val="0"/>
                <w:sz w:val="20"/>
              </w:rPr>
            </w:pPr>
            <w:r w:rsidRPr="00795B44">
              <w:rPr>
                <w:rFonts w:ascii="Arial" w:eastAsia="Times New Roman" w:hAnsi="Arial" w:cs="Arial"/>
                <w:b/>
                <w:bCs/>
                <w:kern w:val="0"/>
                <w:sz w:val="20"/>
              </w:rPr>
              <w:t>Authors</w:t>
            </w:r>
            <w:r w:rsidRPr="00795B44">
              <w:rPr>
                <w:rFonts w:ascii="Arial" w:eastAsia="Times New Roman" w:hAnsi="Arial" w:cs="Arial"/>
                <w:kern w:val="0"/>
                <w:sz w:val="20"/>
              </w:rPr>
              <w:br/>
              <w:t>Erica L. Clinkenbeard PhD, Emily G. Farrow PhD, Lelia J. Summers, Taryn A. Cass, Jessica L. Roberts, Christine A. Bayt, Tim Lahm MD, Marjorie Albrecht, Matthew R. Allen PhD, Munro Peacock MD, Kenneth E. White PhD</w:t>
            </w:r>
            <w:r w:rsidRPr="00795B44">
              <w:rPr>
                <w:rFonts w:ascii="Arial" w:eastAsia="Times New Roman" w:hAnsi="Arial" w:cs="Arial"/>
                <w:kern w:val="0"/>
                <w:sz w:val="20"/>
              </w:rPr>
              <w:br/>
            </w:r>
            <w:r w:rsidRPr="00795B44">
              <w:rPr>
                <w:rFonts w:ascii="Arial" w:eastAsia="Times New Roman" w:hAnsi="Arial" w:cs="Arial"/>
                <w:kern w:val="0"/>
                <w:sz w:val="20"/>
              </w:rPr>
              <w:br/>
            </w:r>
            <w:r w:rsidRPr="00795B44">
              <w:rPr>
                <w:rFonts w:ascii="Arial" w:eastAsia="Times New Roman" w:hAnsi="Arial" w:cs="Arial"/>
                <w:b/>
                <w:bCs/>
                <w:kern w:val="0"/>
                <w:sz w:val="20"/>
              </w:rPr>
              <w:t>Abstract</w:t>
            </w:r>
            <w:r w:rsidRPr="00795B44">
              <w:rPr>
                <w:rFonts w:ascii="Arial" w:eastAsia="Times New Roman" w:hAnsi="Arial" w:cs="Arial"/>
                <w:kern w:val="0"/>
                <w:sz w:val="20"/>
              </w:rPr>
              <w:br/>
              <w:t>FGF23 gain of function mutations can lead to autosomal dominant hypophosphatemic rickets (ADHR) disease onset at birth, or delayed onset following puberty or pregnancy. We previously demonstrated that the combination of iron deficiency and a knock-in R176Q FGF23 mutation in mature mice induced FGF23 expression and hypophosphatemia that paralleled the late onset ADHR phenotype. As anemia in pregnancy and in premature infants is common, the goal of this study was to test whether iron deficiency alters phosphate handling in neonatal life. Wild type (WT) and ADHR female breeder mice were provided control or iron-deficient diets during pregnancy and nursing. Iron-deficient breeders were also made iron replete. Iron deficient WT and ADHR pups were hypophosphatemic, with ADHR pups having significantly lower serum phosphate (P &lt; 0.01) and widened growth plates. Both genotypes increased bone FGF23 mRNA (&gt;50 fold; P &lt; 0.01). WT and ADHR pups receiving low iron had elevated intact serum FGF23 with ADHR mice affected to a greater degree (P &lt; 0.01). Iron deficient mice also showed increased Cyp24a1 and reduced Cyp27b1, and low serum 1,25(OH)2 vitamin D. Iron repletion normalized most abnormalities. Because iron deficiency can induce tissue hypoxia, oxygen deprivation was tested as a regulator of FGF23, and was shown to stimulate FGF23 mRNA in vitro and serum C-terminal FGF23 in normal rats in vivo. These studies demonstrate that FGF23 is modulated by iron status in young WT and ADHR mice and that hypoxia independently controls FGF23 expression in situations of normal iron. Therefore, disturbed iron and oxygen metabolism in neonatal life may have important effects on skeletal function and structure through FGF23 activity on phosphate regulation.</w:t>
            </w:r>
            <w:r w:rsidRPr="00795B44">
              <w:rPr>
                <w:rFonts w:ascii="Arial" w:eastAsia="Times New Roman" w:hAnsi="Arial" w:cs="Arial"/>
                <w:kern w:val="0"/>
                <w:sz w:val="20"/>
              </w:rPr>
              <w:br/>
            </w:r>
            <w:r w:rsidRPr="00795B44">
              <w:rPr>
                <w:rFonts w:ascii="Arial" w:eastAsia="Times New Roman" w:hAnsi="Arial" w:cs="Arial"/>
                <w:kern w:val="0"/>
                <w:sz w:val="20"/>
              </w:rPr>
              <w:br/>
            </w:r>
            <w:r w:rsidRPr="00795B44">
              <w:rPr>
                <w:rFonts w:ascii="Arial" w:eastAsia="Times New Roman" w:hAnsi="Arial" w:cs="Arial"/>
                <w:b/>
                <w:bCs/>
                <w:kern w:val="0"/>
                <w:sz w:val="20"/>
              </w:rPr>
              <w:t>Link to Article</w:t>
            </w:r>
            <w:r w:rsidRPr="00795B44">
              <w:rPr>
                <w:rFonts w:ascii="Arial" w:eastAsia="Times New Roman" w:hAnsi="Arial" w:cs="Arial"/>
                <w:kern w:val="0"/>
                <w:sz w:val="20"/>
              </w:rPr>
              <w:br/>
            </w:r>
            <w:hyperlink r:id="rId23" w:history="1">
              <w:r w:rsidRPr="00795B44">
                <w:rPr>
                  <w:rFonts w:ascii="Arial" w:eastAsia="Times New Roman" w:hAnsi="Arial" w:cs="Arial"/>
                  <w:color w:val="445AA9"/>
                  <w:kern w:val="0"/>
                  <w:sz w:val="20"/>
                  <w:u w:val="single"/>
                </w:rPr>
                <w:t>http://dx.doi.org/10.1002/jbmr.2049</w:t>
              </w:r>
            </w:hyperlink>
          </w:p>
        </w:tc>
      </w:tr>
    </w:tbl>
    <w:p w:rsidR="00795B44" w:rsidRDefault="00795B44">
      <w:pPr>
        <w:rPr>
          <w:rFonts w:ascii="Arial" w:hAnsi="Arial" w:cs="Arial"/>
        </w:rPr>
      </w:pPr>
    </w:p>
    <w:p w:rsidR="00BB59E6" w:rsidRDefault="00BB59E6">
      <w:pPr>
        <w:rPr>
          <w:rFonts w:ascii="Arial" w:hAnsi="Arial" w:cs="Arial"/>
        </w:rPr>
      </w:pPr>
    </w:p>
    <w:p w:rsidR="00795B44" w:rsidRPr="00795B44" w:rsidRDefault="00795B44" w:rsidP="00795B44">
      <w:pPr>
        <w:pBdr>
          <w:top w:val="dotted" w:sz="2" w:space="0" w:color="C7C7C7"/>
          <w:left w:val="dotted" w:sz="2" w:space="0" w:color="C7C7C7"/>
          <w:bottom w:val="dotted" w:sz="2" w:space="0" w:color="C7C7C7"/>
          <w:right w:val="dotted" w:sz="2" w:space="0" w:color="C7C7C7"/>
        </w:pBdr>
        <w:spacing w:before="60" w:after="60"/>
        <w:outlineLvl w:val="4"/>
        <w:rPr>
          <w:rFonts w:ascii="Trebuchet MS" w:eastAsia="Times New Roman" w:hAnsi="Trebuchet MS" w:cs="Arial"/>
          <w:b/>
          <w:bCs/>
          <w:color w:val="1A4292"/>
          <w:kern w:val="0"/>
          <w:sz w:val="27"/>
          <w:szCs w:val="27"/>
        </w:rPr>
      </w:pPr>
      <w:r>
        <w:rPr>
          <w:rFonts w:ascii="Arial" w:hAnsi="Arial" w:cs="Arial" w:hint="eastAsia"/>
        </w:rPr>
        <w:t>13.</w:t>
      </w:r>
      <w:r w:rsidRPr="00795B44">
        <w:rPr>
          <w:rFonts w:ascii="Trebuchet MS" w:hAnsi="Trebuchet MS" w:cs="Arial"/>
          <w:b/>
          <w:bCs/>
          <w:color w:val="1A4292"/>
          <w:sz w:val="27"/>
          <w:szCs w:val="27"/>
        </w:rPr>
        <w:t xml:space="preserve"> </w:t>
      </w:r>
      <w:hyperlink r:id="rId24" w:history="1">
        <w:r w:rsidRPr="00795B44">
          <w:rPr>
            <w:rFonts w:ascii="Arial" w:eastAsia="Times New Roman" w:hAnsi="Arial" w:cs="Arial"/>
            <w:b/>
            <w:bCs/>
            <w:color w:val="445AA9"/>
            <w:kern w:val="0"/>
            <w:sz w:val="20"/>
          </w:rPr>
          <w:t>Treatment with resveratrol attenuates sublesional bone loss in spinal-cord-injured rats</w:t>
        </w:r>
      </w:hyperlink>
    </w:p>
    <w:tbl>
      <w:tblPr>
        <w:tblW w:w="0" w:type="auto"/>
        <w:tblCellSpacing w:w="0" w:type="dxa"/>
        <w:tblCellMar>
          <w:top w:w="15" w:type="dxa"/>
          <w:left w:w="15" w:type="dxa"/>
          <w:bottom w:w="15" w:type="dxa"/>
          <w:right w:w="15" w:type="dxa"/>
        </w:tblCellMar>
        <w:tblLook w:val="04A0"/>
      </w:tblPr>
      <w:tblGrid>
        <w:gridCol w:w="8396"/>
      </w:tblGrid>
      <w:tr w:rsidR="00795B44" w:rsidRPr="00795B44" w:rsidTr="00795B44">
        <w:trPr>
          <w:tblCellSpacing w:w="0" w:type="dxa"/>
        </w:trPr>
        <w:tc>
          <w:tcPr>
            <w:tcW w:w="0" w:type="auto"/>
            <w:tcMar>
              <w:top w:w="45" w:type="dxa"/>
              <w:left w:w="45" w:type="dxa"/>
              <w:bottom w:w="45" w:type="dxa"/>
              <w:right w:w="45" w:type="dxa"/>
            </w:tcMar>
            <w:hideMark/>
          </w:tcPr>
          <w:p w:rsidR="00795B44" w:rsidRPr="00795B44" w:rsidRDefault="00795B44" w:rsidP="00795B44">
            <w:pPr>
              <w:widowControl/>
              <w:jc w:val="left"/>
              <w:divId w:val="234514640"/>
              <w:rPr>
                <w:rFonts w:ascii="Arial" w:eastAsia="Times New Roman" w:hAnsi="Arial" w:cs="Arial"/>
                <w:kern w:val="0"/>
                <w:sz w:val="20"/>
              </w:rPr>
            </w:pPr>
            <w:r w:rsidRPr="00795B44">
              <w:rPr>
                <w:rFonts w:ascii="Arial" w:eastAsia="Times New Roman" w:hAnsi="Arial" w:cs="Arial"/>
                <w:b/>
                <w:bCs/>
                <w:kern w:val="0"/>
                <w:sz w:val="20"/>
              </w:rPr>
              <w:t>Authors</w:t>
            </w:r>
            <w:r w:rsidRPr="00795B44">
              <w:rPr>
                <w:rFonts w:ascii="Arial" w:eastAsia="Times New Roman" w:hAnsi="Arial" w:cs="Arial"/>
                <w:kern w:val="0"/>
                <w:sz w:val="20"/>
              </w:rPr>
              <w:br/>
              <w:t>Hua-Dong Wang, Ya-Min Shi, Li Li, Ji-Dong Guo, Yu-Peng Zhang, Shu-Xun Hou</w:t>
            </w:r>
            <w:r w:rsidRPr="00795B44">
              <w:rPr>
                <w:rFonts w:ascii="Arial" w:eastAsia="Times New Roman" w:hAnsi="Arial" w:cs="Arial"/>
                <w:kern w:val="0"/>
                <w:sz w:val="20"/>
              </w:rPr>
              <w:br/>
            </w:r>
            <w:r w:rsidRPr="00795B44">
              <w:rPr>
                <w:rFonts w:ascii="Arial" w:eastAsia="Times New Roman" w:hAnsi="Arial" w:cs="Arial"/>
                <w:kern w:val="0"/>
                <w:sz w:val="20"/>
              </w:rPr>
              <w:br/>
            </w:r>
            <w:r w:rsidRPr="00795B44">
              <w:rPr>
                <w:rFonts w:ascii="Arial" w:eastAsia="Times New Roman" w:hAnsi="Arial" w:cs="Arial"/>
                <w:b/>
                <w:bCs/>
                <w:kern w:val="0"/>
                <w:sz w:val="20"/>
              </w:rPr>
              <w:t>Abstract</w:t>
            </w:r>
            <w:r w:rsidRPr="00795B44">
              <w:rPr>
                <w:rFonts w:ascii="Arial" w:eastAsia="Times New Roman" w:hAnsi="Arial" w:cs="Arial"/>
                <w:kern w:val="0"/>
                <w:sz w:val="20"/>
              </w:rPr>
              <w:br/>
              <w:t>Background and purpose: Sublesional osteoporosis predisposes individuals with spinal cord injury (SCI) to an increased risk of low-trauma fracture. The aim of present work was to investigate the effect of treatment with resveratrol (RES) on sublesional bone loss in spinal-cord-injured rats. Experimental approach: Complete SCI was generated by surgical transaction of the cord at the T10-12 level. Treatment with RES (400 mg/kg body mass/day, intragastrically) was initiated 12 hours after the surgery for 10 days. Then, blood was collected and femurs and tibiae were removed for evaluation of the effects of RES on bone tissue after SCI. Key results: Treatment of SCI rats with RES prevented the reduction of bone mass including bone mineral content and bone mineral density in tibiae, preserved bone structure including trabecular bone volume fraction, trabecular number, and trabecular thickness in tibiae, and preserved mechanical strength including ultimate load, stiffness, and energy in femurs. Treatment of SCI rats with RES enhanced femoral t-SH content, reduced femoral malondialdehyde and IL-6 mRNA levels. Treatment of SCI rats with RES suppressed the upregulation of mRNA levels of PPARγ, aP2, and LPL, and restored mRNA levels of Wnt1, Lrp5, Axin2, ctnnb1, IGF-1 and IGF-1R in femurs and tibiae. Conclusions and Implications: Treatment with RES attenuated sublesional bone loss in spinal-cord-injured rats, associated with abating oxidative stress, attenuating inflammation, depressing PPARγ signaling, and restoring Wnt/β-catenin and IGF-1 signaling.</w:t>
            </w:r>
            <w:r w:rsidRPr="00795B44">
              <w:rPr>
                <w:rFonts w:ascii="Arial" w:eastAsia="Times New Roman" w:hAnsi="Arial" w:cs="Arial"/>
                <w:kern w:val="0"/>
                <w:sz w:val="20"/>
              </w:rPr>
              <w:br/>
            </w:r>
            <w:r w:rsidRPr="00795B44">
              <w:rPr>
                <w:rFonts w:ascii="Arial" w:eastAsia="Times New Roman" w:hAnsi="Arial" w:cs="Arial"/>
                <w:kern w:val="0"/>
                <w:sz w:val="20"/>
              </w:rPr>
              <w:br/>
            </w:r>
            <w:r w:rsidRPr="00795B44">
              <w:rPr>
                <w:rFonts w:ascii="Arial" w:eastAsia="Times New Roman" w:hAnsi="Arial" w:cs="Arial"/>
                <w:b/>
                <w:bCs/>
                <w:kern w:val="0"/>
                <w:sz w:val="20"/>
              </w:rPr>
              <w:t>Link to Article</w:t>
            </w:r>
            <w:r w:rsidRPr="00795B44">
              <w:rPr>
                <w:rFonts w:ascii="Arial" w:eastAsia="Times New Roman" w:hAnsi="Arial" w:cs="Arial"/>
                <w:kern w:val="0"/>
                <w:sz w:val="20"/>
              </w:rPr>
              <w:br/>
            </w:r>
            <w:hyperlink r:id="rId25" w:history="1">
              <w:r w:rsidRPr="00795B44">
                <w:rPr>
                  <w:rFonts w:ascii="Arial" w:eastAsia="Times New Roman" w:hAnsi="Arial" w:cs="Arial"/>
                  <w:color w:val="445AA9"/>
                  <w:kern w:val="0"/>
                  <w:sz w:val="20"/>
                  <w:u w:val="single"/>
                </w:rPr>
                <w:t>http://dx.doi.org/10.1111/bph.12301</w:t>
              </w:r>
            </w:hyperlink>
          </w:p>
        </w:tc>
      </w:tr>
    </w:tbl>
    <w:p w:rsidR="00BB59E6" w:rsidRDefault="00BB59E6">
      <w:pPr>
        <w:rPr>
          <w:rFonts w:ascii="Arial" w:hAnsi="Arial" w:cs="Arial"/>
        </w:rPr>
      </w:pPr>
    </w:p>
    <w:p w:rsidR="00D028BE" w:rsidRPr="00D028BE" w:rsidRDefault="00795B44" w:rsidP="00D028BE">
      <w:pPr>
        <w:pStyle w:val="1"/>
        <w:rPr>
          <w:rFonts w:ascii="Arial" w:hAnsi="Arial" w:cs="Arial"/>
          <w:sz w:val="20"/>
          <w:szCs w:val="20"/>
        </w:rPr>
      </w:pPr>
      <w:r w:rsidRPr="00D028BE">
        <w:rPr>
          <w:rFonts w:ascii="Arial" w:hAnsi="Arial" w:cs="Arial"/>
          <w:sz w:val="20"/>
          <w:szCs w:val="20"/>
        </w:rPr>
        <w:t>14.</w:t>
      </w:r>
      <w:r w:rsidR="00D028BE" w:rsidRPr="00D028BE">
        <w:rPr>
          <w:rFonts w:ascii="Arial" w:hAnsi="Arial" w:cs="Arial"/>
          <w:sz w:val="20"/>
          <w:szCs w:val="20"/>
        </w:rPr>
        <w:t xml:space="preserve"> Chronic hyponatremia exacerbates multiple manifestations of senescence in male rats</w:t>
      </w:r>
    </w:p>
    <w:p w:rsidR="00D028BE" w:rsidRPr="00D028BE" w:rsidRDefault="0089244D" w:rsidP="00D028BE">
      <w:pPr>
        <w:widowControl/>
        <w:jc w:val="left"/>
        <w:rPr>
          <w:rFonts w:ascii="Arial" w:eastAsia="Times New Roman" w:hAnsi="Arial" w:cs="Arial"/>
          <w:kern w:val="0"/>
          <w:sz w:val="20"/>
        </w:rPr>
      </w:pPr>
      <w:hyperlink r:id="rId26" w:history="1">
        <w:r w:rsidR="00D028BE" w:rsidRPr="00D028BE">
          <w:rPr>
            <w:rFonts w:ascii="Arial" w:eastAsia="Times New Roman" w:hAnsi="Arial" w:cs="Arial"/>
            <w:kern w:val="0"/>
            <w:sz w:val="20"/>
          </w:rPr>
          <w:t>Julia Barsony</w:t>
        </w:r>
      </w:hyperlink>
      <w:r w:rsidR="00D028BE" w:rsidRPr="00D028BE">
        <w:rPr>
          <w:rFonts w:ascii="Arial" w:eastAsia="Times New Roman" w:hAnsi="Arial" w:cs="Arial"/>
          <w:kern w:val="0"/>
          <w:sz w:val="20"/>
        </w:rPr>
        <w:t xml:space="preserve">, </w:t>
      </w:r>
      <w:hyperlink r:id="rId27" w:history="1">
        <w:r w:rsidR="00D028BE" w:rsidRPr="00D028BE">
          <w:rPr>
            <w:rFonts w:ascii="Arial" w:eastAsia="Times New Roman" w:hAnsi="Arial" w:cs="Arial"/>
            <w:kern w:val="0"/>
            <w:sz w:val="20"/>
          </w:rPr>
          <w:t>Michaele B. Manigrasso</w:t>
        </w:r>
      </w:hyperlink>
      <w:r w:rsidR="00D028BE" w:rsidRPr="00D028BE">
        <w:rPr>
          <w:rFonts w:ascii="Arial" w:eastAsia="Times New Roman" w:hAnsi="Arial" w:cs="Arial"/>
          <w:kern w:val="0"/>
          <w:sz w:val="20"/>
        </w:rPr>
        <w:t xml:space="preserve">, </w:t>
      </w:r>
      <w:hyperlink r:id="rId28" w:history="1">
        <w:r w:rsidR="00D028BE" w:rsidRPr="00D028BE">
          <w:rPr>
            <w:rFonts w:ascii="Arial" w:eastAsia="Times New Roman" w:hAnsi="Arial" w:cs="Arial"/>
            <w:kern w:val="0"/>
            <w:sz w:val="20"/>
          </w:rPr>
          <w:t>Qin Xu</w:t>
        </w:r>
      </w:hyperlink>
      <w:r w:rsidR="00D028BE" w:rsidRPr="00D028BE">
        <w:rPr>
          <w:rFonts w:ascii="Arial" w:eastAsia="Times New Roman" w:hAnsi="Arial" w:cs="Arial"/>
          <w:kern w:val="0"/>
          <w:sz w:val="20"/>
        </w:rPr>
        <w:t xml:space="preserve">, </w:t>
      </w:r>
      <w:hyperlink r:id="rId29" w:history="1">
        <w:r w:rsidR="00D028BE" w:rsidRPr="00D028BE">
          <w:rPr>
            <w:rFonts w:ascii="Arial" w:eastAsia="Times New Roman" w:hAnsi="Arial" w:cs="Arial"/>
            <w:kern w:val="0"/>
            <w:sz w:val="20"/>
          </w:rPr>
          <w:t>Helen Tam</w:t>
        </w:r>
      </w:hyperlink>
      <w:r w:rsidR="00D028BE" w:rsidRPr="00D028BE">
        <w:rPr>
          <w:rFonts w:ascii="Arial" w:eastAsia="Times New Roman" w:hAnsi="Arial" w:cs="Arial"/>
          <w:kern w:val="0"/>
          <w:sz w:val="20"/>
        </w:rPr>
        <w:t xml:space="preserve">, </w:t>
      </w:r>
      <w:hyperlink r:id="rId30" w:history="1">
        <w:r w:rsidR="00D028BE" w:rsidRPr="00D028BE">
          <w:rPr>
            <w:rFonts w:ascii="Arial" w:eastAsia="Times New Roman" w:hAnsi="Arial" w:cs="Arial"/>
            <w:kern w:val="0"/>
            <w:sz w:val="20"/>
          </w:rPr>
          <w:t>Joseph G. Verbalis</w:t>
        </w:r>
      </w:hyperlink>
      <w:r w:rsidR="00D028BE" w:rsidRPr="00D028BE">
        <w:rPr>
          <w:rFonts w:ascii="Arial" w:eastAsia="Times New Roman" w:hAnsi="Arial" w:cs="Arial"/>
          <w:kern w:val="0"/>
          <w:sz w:val="20"/>
        </w:rPr>
        <w:t xml:space="preserve"> </w:t>
      </w:r>
    </w:p>
    <w:p w:rsidR="00D028BE" w:rsidRPr="00D028BE" w:rsidRDefault="00D028BE" w:rsidP="00D028BE">
      <w:pPr>
        <w:widowControl/>
        <w:jc w:val="left"/>
        <w:rPr>
          <w:rFonts w:ascii="Arial" w:eastAsia="Times New Roman" w:hAnsi="Arial" w:cs="Arial"/>
          <w:kern w:val="0"/>
          <w:sz w:val="20"/>
        </w:rPr>
      </w:pPr>
      <w:r w:rsidRPr="00D028BE">
        <w:rPr>
          <w:rFonts w:ascii="Arial" w:eastAsia="Times New Roman" w:hAnsi="Arial" w:cs="Arial"/>
          <w:kern w:val="0"/>
          <w:sz w:val="20"/>
        </w:rPr>
        <w:t xml:space="preserve">… show all 5 hide </w:t>
      </w:r>
    </w:p>
    <w:p w:rsidR="00D028BE" w:rsidRPr="00D028BE" w:rsidRDefault="00D028BE" w:rsidP="00D028BE">
      <w:pPr>
        <w:widowControl/>
        <w:jc w:val="left"/>
        <w:rPr>
          <w:rFonts w:ascii="Arial" w:eastAsia="Times New Roman" w:hAnsi="Arial" w:cs="Arial"/>
          <w:kern w:val="0"/>
          <w:sz w:val="20"/>
        </w:rPr>
      </w:pPr>
      <w:r w:rsidRPr="00D028BE">
        <w:rPr>
          <w:rFonts w:ascii="Arial" w:eastAsia="Times New Roman" w:hAnsi="Arial" w:cs="Arial"/>
          <w:kern w:val="0"/>
          <w:sz w:val="20"/>
        </w:rPr>
        <w:t>Abstract</w:t>
      </w:r>
    </w:p>
    <w:p w:rsidR="00D028BE" w:rsidRPr="00D028BE" w:rsidRDefault="00D028BE" w:rsidP="00D028BE">
      <w:pPr>
        <w:widowControl/>
        <w:jc w:val="left"/>
        <w:rPr>
          <w:rFonts w:ascii="Arial" w:eastAsia="Times New Roman" w:hAnsi="Arial" w:cs="Arial"/>
          <w:kern w:val="0"/>
          <w:sz w:val="20"/>
        </w:rPr>
      </w:pPr>
      <w:r w:rsidRPr="00D028BE">
        <w:rPr>
          <w:rFonts w:ascii="Arial" w:eastAsia="Times New Roman" w:hAnsi="Arial" w:cs="Arial"/>
          <w:kern w:val="0"/>
          <w:sz w:val="20"/>
        </w:rPr>
        <w:t>The syndrome of inappropriate antidiuretic hormone secretion (SIADH) is frequently responsible for chronic hyponatremia in the elderly due to age-related disruption of the inhibitory component of brain osmoregulatory mechanisms. Recent research has indicated that chronic hyponatremia is associated with gait disturbances, increased falls, and bone fragility in humans, and we have found that chronic hyponatremia causes increased bone resorption and reduced bone mineral density in young rats. In this study, we used a model of SIADH to study multi-organ consequences of chronic hyponatremia in aged rats. Sustained hyponatremia for 18 weeks caused progressive reduction of bone mineral density by DXA and decreased bone ash calcium, phosphate and sodium contents at the tibia and lumbar vertebrae. Administration of 10-fold higher vitamin D during the last 8 weeks of the study compensated for the reduction in bone formation and halted bone loss. Hyponatremic rats developed hypogonadism, as indicated by slightly lower serum testosterone and higher serum FSH and LH concentrations, markedly decreased testicular weight, and abnormal testicular histology. Aged hyponatremic rats also manifested decreased body fat, skeletal muscle sarcopenia by densitometry, and cardiomyopathy manifested as increased heart weight and perivascular and interstitial fibrosis by histology. These findings are consistent with recent results in cultured osteoclastic cells, indicating that low extracellular sodium concentrations increased oxidative stress, thereby potentially exacerbating multiple manifestations of senescence. Future prospective studies in patients with SIADH may indicate whether these multi-organ age-related comorbidities may potentially contribute to the observed increased incidence of fractures and mortality in this population.</w:t>
      </w:r>
    </w:p>
    <w:p w:rsidR="00BB59E6" w:rsidRDefault="00BB59E6" w:rsidP="00D028BE">
      <w:pPr>
        <w:widowControl/>
        <w:jc w:val="left"/>
        <w:rPr>
          <w:rFonts w:ascii="Arial" w:eastAsiaTheme="minorEastAsia" w:hAnsi="Arial" w:cs="Arial"/>
          <w:kern w:val="0"/>
          <w:sz w:val="20"/>
        </w:rPr>
      </w:pPr>
    </w:p>
    <w:p w:rsidR="00D028BE" w:rsidRPr="00D028BE" w:rsidRDefault="00D028BE" w:rsidP="00D028BE">
      <w:pPr>
        <w:widowControl/>
        <w:jc w:val="left"/>
        <w:rPr>
          <w:rFonts w:ascii="Arial" w:eastAsiaTheme="minorEastAsia" w:hAnsi="Arial" w:cs="Arial"/>
          <w:b/>
          <w:kern w:val="0"/>
          <w:sz w:val="20"/>
        </w:rPr>
      </w:pPr>
      <w:r w:rsidRPr="00D028BE">
        <w:rPr>
          <w:rFonts w:ascii="Arial" w:eastAsiaTheme="minorEastAsia" w:hAnsi="Arial" w:cs="Arial" w:hint="eastAsia"/>
          <w:b/>
          <w:kern w:val="0"/>
          <w:sz w:val="20"/>
        </w:rPr>
        <w:t>Link</w:t>
      </w:r>
      <w:r w:rsidRPr="00D028BE">
        <w:rPr>
          <w:rFonts w:ascii="Arial" w:eastAsiaTheme="minorEastAsia" w:hAnsi="Arial" w:cs="Arial" w:hint="eastAsia"/>
          <w:b/>
          <w:kern w:val="0"/>
          <w:sz w:val="20"/>
        </w:rPr>
        <w:t>：</w:t>
      </w:r>
    </w:p>
    <w:p w:rsidR="00BB59E6" w:rsidRDefault="00D028BE">
      <w:pPr>
        <w:rPr>
          <w:rFonts w:ascii="Arial" w:hAnsi="Arial" w:cs="Arial"/>
        </w:rPr>
      </w:pPr>
      <w:r w:rsidRPr="00D028BE">
        <w:rPr>
          <w:rFonts w:ascii="Arial" w:hAnsi="Arial" w:cs="Arial"/>
        </w:rPr>
        <w:t>http://link.springer.com/article/10.1007%2Fs11357-011-9347-9</w:t>
      </w:r>
    </w:p>
    <w:p w:rsidR="00BB59E6" w:rsidRDefault="00BB59E6">
      <w:pPr>
        <w:rPr>
          <w:rFonts w:ascii="Arial" w:hAnsi="Arial" w:cs="Arial"/>
        </w:rPr>
      </w:pPr>
    </w:p>
    <w:p w:rsidR="00BB59E6" w:rsidRDefault="00BB59E6">
      <w:pPr>
        <w:rPr>
          <w:rFonts w:ascii="Arial" w:hAnsi="Arial" w:cs="Arial"/>
        </w:rPr>
      </w:pPr>
    </w:p>
    <w:p w:rsidR="000A60F8" w:rsidRPr="00D028BE" w:rsidRDefault="00D028BE">
      <w:pPr>
        <w:rPr>
          <w:rFonts w:ascii="Arial" w:hAnsi="Arial" w:cs="Arial"/>
          <w:b/>
        </w:rPr>
      </w:pPr>
      <w:r w:rsidRPr="00D028BE">
        <w:rPr>
          <w:rFonts w:ascii="Arial" w:hAnsi="Arial" w:cs="Arial" w:hint="eastAsia"/>
          <w:b/>
        </w:rPr>
        <w:t xml:space="preserve">15 </w:t>
      </w:r>
      <w:r w:rsidR="000A60F8" w:rsidRPr="00D028BE">
        <w:rPr>
          <w:rFonts w:ascii="Arial" w:hAnsi="Arial" w:cs="Arial" w:hint="eastAsia"/>
          <w:b/>
        </w:rPr>
        <w:t>.</w:t>
      </w:r>
      <w:r w:rsidR="000A60F8" w:rsidRPr="00D028BE">
        <w:rPr>
          <w:rFonts w:ascii="Arial" w:hAnsi="Arial" w:cs="Arial"/>
          <w:b/>
        </w:rPr>
        <w:t>Preclinical Evaluation of a Novel Implant for Treatment of a Full-Thickness Distal Femoral Focal Cartilage Defect</w:t>
      </w:r>
    </w:p>
    <w:p w:rsidR="000A60F8" w:rsidRDefault="000A60F8">
      <w:pPr>
        <w:rPr>
          <w:rFonts w:ascii="Arial" w:hAnsi="Arial" w:cs="Arial"/>
          <w:b/>
          <w:bCs/>
        </w:rPr>
      </w:pPr>
      <w:r>
        <w:rPr>
          <w:rFonts w:ascii="Arial" w:hAnsi="Arial" w:cs="Arial"/>
          <w:b/>
          <w:bCs/>
        </w:rPr>
        <w:t>Authors</w:t>
      </w:r>
    </w:p>
    <w:p w:rsidR="000A60F8" w:rsidRDefault="000A60F8">
      <w:pPr>
        <w:rPr>
          <w:rFonts w:ascii="Arial" w:hAnsi="Arial" w:cs="Arial"/>
        </w:rPr>
      </w:pPr>
      <w:r>
        <w:rPr>
          <w:rFonts w:ascii="Arial" w:hAnsi="Arial" w:cs="Arial"/>
        </w:rPr>
        <w:t>Erik I. Waldorff, PhD, Blake J. Roessler, MD, Terri A. Zachos, DVM, PhD, Bruce S. Miller, MD, MS, Jonathan McHugh, MD, Steven A. Goldstein, PhD</w:t>
      </w:r>
    </w:p>
    <w:p w:rsidR="000A60F8" w:rsidRDefault="000A60F8">
      <w:pPr>
        <w:rPr>
          <w:rFonts w:ascii="Arial" w:hAnsi="Arial" w:cs="Arial"/>
          <w:b/>
          <w:bCs/>
        </w:rPr>
      </w:pPr>
      <w:r>
        <w:rPr>
          <w:rFonts w:ascii="Arial" w:hAnsi="Arial" w:cs="Arial"/>
          <w:b/>
          <w:bCs/>
        </w:rPr>
        <w:t>Abstract</w:t>
      </w:r>
    </w:p>
    <w:p w:rsidR="000A60F8" w:rsidRDefault="000A60F8">
      <w:pPr>
        <w:rPr>
          <w:rFonts w:ascii="Arial" w:hAnsi="Arial" w:cs="Arial"/>
        </w:rPr>
      </w:pPr>
      <w:r>
        <w:rPr>
          <w:rFonts w:ascii="Arial" w:hAnsi="Arial" w:cs="Arial"/>
        </w:rPr>
        <w:t>A novel, nonresorbable, monolithic composite structure ceramic, developed using a partially stabilized zirconia ceramic common to implantable devices, was used in a cementless weight-bearing articular implant to test the feasibility of replacing a region of degenerated or damaged articular cartilage in the knee as part of a preclinical study using male mongrel dogs lasting up to 24 weeks. Gross/histological cartilage observations showed no differences among control, 12-week and 24-week groups, while pull-out tests showed an increase in maximum pull-out load over time relative to controls. Hence, the use of a novel ceramic implant as a replacement for a focal cartilage defect leads to effective implant fixation within 12 weeks and does not cause significant degradation in opposing articular cartilage in the time frame evaluated.</w:t>
      </w:r>
    </w:p>
    <w:p w:rsidR="000A60F8" w:rsidRDefault="000A60F8">
      <w:pPr>
        <w:rPr>
          <w:rFonts w:ascii="Arial" w:hAnsi="Arial" w:cs="Arial"/>
          <w:b/>
          <w:bCs/>
        </w:rPr>
      </w:pPr>
      <w:r>
        <w:rPr>
          <w:rFonts w:ascii="Arial" w:hAnsi="Arial" w:cs="Arial"/>
          <w:b/>
          <w:bCs/>
        </w:rPr>
        <w:t>Link to Article</w:t>
      </w:r>
      <w:r w:rsidR="00D028BE">
        <w:rPr>
          <w:rFonts w:ascii="Arial" w:hAnsi="Arial" w:cs="Arial" w:hint="eastAsia"/>
          <w:b/>
          <w:bCs/>
        </w:rPr>
        <w:t xml:space="preserve">  </w:t>
      </w:r>
    </w:p>
    <w:p w:rsidR="000A60F8" w:rsidRDefault="0089244D">
      <w:pPr>
        <w:rPr>
          <w:rFonts w:ascii="Arial" w:hAnsi="Arial" w:cs="Arial"/>
        </w:rPr>
      </w:pPr>
      <w:hyperlink r:id="rId31" w:history="1">
        <w:r w:rsidR="000A60F8">
          <w:rPr>
            <w:rStyle w:val="a3"/>
            <w:rFonts w:ascii="Arial" w:hAnsi="Arial" w:cs="Arial"/>
            <w:color w:val="0000FF"/>
            <w:sz w:val="24"/>
          </w:rPr>
          <w:t>http://www.arthroplastyjournal.org/article/S0883-5403(13)00107-1/abstract</w:t>
        </w:r>
      </w:hyperlink>
      <w:r w:rsidR="000A60F8">
        <w:rPr>
          <w:rFonts w:ascii="Arial" w:hAnsi="Arial" w:cs="Arial"/>
          <w:sz w:val="24"/>
        </w:rPr>
        <w:t xml:space="preserve"> </w:t>
      </w:r>
    </w:p>
    <w:p w:rsidR="000A60F8" w:rsidRDefault="000A60F8"/>
    <w:p w:rsidR="000A60F8" w:rsidRDefault="00D028BE">
      <w:pPr>
        <w:shd w:val="solid" w:color="FFFFFF" w:fill="auto"/>
        <w:autoSpaceDN w:val="0"/>
        <w:jc w:val="left"/>
        <w:rPr>
          <w:rFonts w:ascii="Arial" w:hAnsi="Arial" w:cs="Arial"/>
          <w:b/>
          <w:color w:val="5064AE"/>
          <w:szCs w:val="21"/>
          <w:shd w:val="clear" w:color="auto" w:fill="FFFFFF"/>
        </w:rPr>
      </w:pPr>
      <w:r>
        <w:rPr>
          <w:rFonts w:ascii="Arial" w:hAnsi="Arial" w:cs="Arial" w:hint="eastAsia"/>
          <w:b/>
          <w:color w:val="5064AE"/>
          <w:szCs w:val="21"/>
          <w:shd w:val="clear" w:color="auto" w:fill="FFFFFF"/>
        </w:rPr>
        <w:t xml:space="preserve">16 </w:t>
      </w:r>
      <w:r w:rsidR="000A60F8">
        <w:rPr>
          <w:rFonts w:ascii="Arial" w:hAnsi="Arial" w:cs="Arial" w:hint="eastAsia"/>
          <w:b/>
          <w:color w:val="5064AE"/>
          <w:szCs w:val="21"/>
          <w:shd w:val="clear" w:color="auto" w:fill="FFFFFF"/>
        </w:rPr>
        <w:t>.</w:t>
      </w:r>
      <w:r w:rsidR="000A60F8">
        <w:rPr>
          <w:rFonts w:ascii="Arial" w:hAnsi="Arial" w:cs="Arial"/>
          <w:b/>
          <w:color w:val="5064AE"/>
          <w:szCs w:val="21"/>
          <w:shd w:val="clear" w:color="auto" w:fill="FFFFFF"/>
        </w:rPr>
        <w:t>Strontium ranelate reduces cartilage degeneration and subchondral bone remodeling in rat osteoarthritis model</w:t>
      </w:r>
    </w:p>
    <w:p w:rsidR="000A60F8" w:rsidRDefault="000A60F8">
      <w:pPr>
        <w:rPr>
          <w:rFonts w:ascii="Arial" w:hAnsi="Arial" w:cs="Arial"/>
          <w:szCs w:val="21"/>
        </w:rPr>
      </w:pPr>
      <w:r>
        <w:rPr>
          <w:rFonts w:ascii="Arial" w:hAnsi="Arial" w:cs="Arial"/>
          <w:b/>
          <w:color w:val="283769"/>
          <w:szCs w:val="21"/>
          <w:shd w:val="clear" w:color="auto" w:fill="FFFFFF"/>
        </w:rPr>
        <w:t>Authors</w:t>
      </w:r>
      <w:r>
        <w:rPr>
          <w:rFonts w:ascii="Arial" w:hAnsi="Arial" w:cs="Arial"/>
          <w:szCs w:val="21"/>
        </w:rPr>
        <w:t xml:space="preserve"> </w:t>
      </w:r>
    </w:p>
    <w:p w:rsidR="000A60F8" w:rsidRDefault="000A60F8">
      <w:pPr>
        <w:rPr>
          <w:rFonts w:ascii="Arial" w:hAnsi="Arial" w:cs="Arial"/>
          <w:color w:val="283769"/>
          <w:szCs w:val="21"/>
          <w:shd w:val="clear" w:color="auto" w:fill="FFFFFF"/>
        </w:rPr>
      </w:pPr>
      <w:r>
        <w:rPr>
          <w:rFonts w:ascii="Arial" w:hAnsi="Arial" w:cs="Arial"/>
          <w:color w:val="283769"/>
          <w:szCs w:val="21"/>
          <w:shd w:val="clear" w:color="auto" w:fill="FFFFFF"/>
        </w:rPr>
        <w:t>De-gang Yu, Hui-feng Ding, Yuan-qing Mao, Ming Liu, Bo Yu, Xin Zhao,Xiao-qing Wang, Yang Li, Guang-wang Liu, Shao-bo Nie, Shen Liu andZhen-an Zhu</w:t>
      </w:r>
    </w:p>
    <w:p w:rsidR="000A60F8" w:rsidRDefault="000A60F8">
      <w:pPr>
        <w:rPr>
          <w:rFonts w:ascii="Arial" w:hAnsi="Arial" w:cs="Arial"/>
          <w:szCs w:val="21"/>
        </w:rPr>
      </w:pPr>
      <w:r>
        <w:rPr>
          <w:rFonts w:ascii="Arial" w:hAnsi="Arial" w:cs="Arial"/>
          <w:b/>
          <w:color w:val="283769"/>
          <w:szCs w:val="21"/>
          <w:shd w:val="clear" w:color="auto" w:fill="FFFFFF"/>
        </w:rPr>
        <w:t>Abstract</w:t>
      </w:r>
      <w:r>
        <w:rPr>
          <w:rFonts w:ascii="Arial" w:hAnsi="Arial" w:cs="Arial"/>
          <w:szCs w:val="21"/>
        </w:rPr>
        <w:t xml:space="preserve"> </w:t>
      </w:r>
    </w:p>
    <w:p w:rsidR="000A60F8" w:rsidRDefault="000A60F8">
      <w:pPr>
        <w:rPr>
          <w:rFonts w:ascii="Arial" w:hAnsi="Arial" w:cs="Arial"/>
          <w:color w:val="283769"/>
          <w:szCs w:val="21"/>
          <w:shd w:val="clear" w:color="auto" w:fill="FFFFFF"/>
        </w:rPr>
      </w:pPr>
      <w:r>
        <w:rPr>
          <w:rFonts w:ascii="Arial" w:hAnsi="Arial" w:cs="Arial"/>
          <w:color w:val="283769"/>
          <w:szCs w:val="21"/>
          <w:shd w:val="clear" w:color="auto" w:fill="FFFFFF"/>
        </w:rPr>
        <w:t>Medial meniscal tear (MMT) operation was performed in adult SD rats to induce OA. SR (625 or 1800 mg·kg−1·d−1) was administered via gavage for 3 or 6 weeks. After the animals were sacrificed, articular cartilage degeneration was evaluated using toluidine blue O staining, SOX9 immunohistochemistry and TUNEL assay. The changes in microarchitecture indices and tissue mineral density (TMD), chemical composition (mineral-to-collagen ratio), and intrinsic mechanical properties of the subchondral bones were measured using micro-CT scanning, confocal Raman microspectroscopy and nanoindentation testing, respectively. The high-dose SR significantly attenuated cartilage matrix and chondrocyte loss at 6 weeks, and decreased chondrocyte apoptosis, improved the expression of SOX9, a critical transcription factor responsible for the expression of anabolic genes type II collagen and aggrecan, at both 3 and 6 weeks. Meanwhile, the high-dose SR also significantly attenuated the subchondral bone remodeling at both 3 and 6 weeks, as shown by the improved microarchitecture indices, TMD, mineral-to-collagen ratio and intrinsic mechanical properties. In contrast, the low-dose SR did not significantly change all the detection indices of cartilage and bone at both 3 and 6 weeks. The high-dose SR treatment can reduce articular cartilage degeneration and subchondral bone remodeling in the rat MMT model of OA.</w:t>
      </w:r>
    </w:p>
    <w:p w:rsidR="000A60F8" w:rsidRDefault="000A60F8">
      <w:pPr>
        <w:rPr>
          <w:rFonts w:ascii="Arial" w:hAnsi="Arial" w:cs="Arial"/>
          <w:szCs w:val="21"/>
        </w:rPr>
      </w:pPr>
      <w:r>
        <w:rPr>
          <w:rFonts w:ascii="Arial" w:hAnsi="Arial" w:cs="Arial"/>
          <w:b/>
          <w:color w:val="283769"/>
          <w:szCs w:val="21"/>
          <w:shd w:val="clear" w:color="auto" w:fill="FFFFFF"/>
        </w:rPr>
        <w:t>Link to Article</w:t>
      </w:r>
      <w:r>
        <w:rPr>
          <w:rFonts w:ascii="Arial" w:hAnsi="Arial" w:cs="Arial"/>
          <w:szCs w:val="21"/>
        </w:rPr>
        <w:t xml:space="preserve"> </w:t>
      </w:r>
      <w:r w:rsidR="008D0638">
        <w:rPr>
          <w:rFonts w:ascii="Arial" w:hAnsi="Arial" w:cs="Arial" w:hint="eastAsia"/>
          <w:szCs w:val="21"/>
        </w:rPr>
        <w:t xml:space="preserve">   </w:t>
      </w:r>
      <w:r w:rsidR="00D028BE">
        <w:rPr>
          <w:rFonts w:ascii="Arial" w:hAnsi="Arial" w:cs="Arial" w:hint="eastAsia"/>
          <w:szCs w:val="21"/>
        </w:rPr>
        <w:t xml:space="preserve"> </w:t>
      </w:r>
    </w:p>
    <w:p w:rsidR="000A60F8" w:rsidRDefault="0089244D">
      <w:pPr>
        <w:rPr>
          <w:rFonts w:ascii="SimSun" w:hAnsi="SimSun"/>
          <w:sz w:val="24"/>
        </w:rPr>
      </w:pPr>
      <w:hyperlink r:id="rId32" w:history="1">
        <w:r w:rsidR="000A60F8">
          <w:rPr>
            <w:rFonts w:ascii="SimSun" w:hAnsi="SimSun"/>
            <w:color w:val="0000FF"/>
            <w:sz w:val="24"/>
            <w:u w:val="single"/>
          </w:rPr>
          <w:t>http://www.nature.com/aps/journal/v34/n3/full/aps2012167a.html</w:t>
        </w:r>
      </w:hyperlink>
    </w:p>
    <w:p w:rsidR="000A60F8" w:rsidRDefault="000A60F8">
      <w:pPr>
        <w:rPr>
          <w:rFonts w:ascii="SimSun" w:hAnsi="SimSun"/>
          <w:sz w:val="24"/>
        </w:rPr>
      </w:pPr>
    </w:p>
    <w:p w:rsidR="000A60F8" w:rsidRDefault="00D028BE">
      <w:pPr>
        <w:shd w:val="solid" w:color="FFFFFF" w:fill="auto"/>
        <w:autoSpaceDN w:val="0"/>
        <w:jc w:val="left"/>
        <w:rPr>
          <w:rFonts w:ascii="Arial" w:eastAsia="华康瘦金体W3(P)" w:hAnsi="Arial" w:cs="Arial"/>
          <w:b/>
          <w:color w:val="5064AE"/>
          <w:szCs w:val="21"/>
          <w:shd w:val="clear" w:color="auto" w:fill="FFFFFF"/>
        </w:rPr>
      </w:pPr>
      <w:r>
        <w:rPr>
          <w:rFonts w:ascii="Arial" w:eastAsia="华康瘦金体W3(P)" w:hAnsi="Arial" w:cs="Arial" w:hint="eastAsia"/>
          <w:b/>
          <w:color w:val="5064AE"/>
          <w:szCs w:val="21"/>
          <w:shd w:val="clear" w:color="auto" w:fill="FFFFFF"/>
        </w:rPr>
        <w:t>17</w:t>
      </w:r>
      <w:r w:rsidR="000A60F8">
        <w:rPr>
          <w:rFonts w:ascii="Arial" w:eastAsia="华康瘦金体W3(P)" w:hAnsi="Arial" w:cs="Arial" w:hint="eastAsia"/>
          <w:b/>
          <w:color w:val="5064AE"/>
          <w:szCs w:val="21"/>
          <w:shd w:val="clear" w:color="auto" w:fill="FFFFFF"/>
        </w:rPr>
        <w:t>.</w:t>
      </w:r>
      <w:r w:rsidR="000A60F8">
        <w:rPr>
          <w:rFonts w:ascii="Arial" w:eastAsia="华康瘦金体W3(P)" w:hAnsi="Arial" w:cs="Arial"/>
          <w:b/>
          <w:color w:val="5064AE"/>
          <w:szCs w:val="21"/>
          <w:shd w:val="clear" w:color="auto" w:fill="FFFFFF"/>
        </w:rPr>
        <w:t>Depth of subchondral perforation influences the outcome of bone marrow stimulation cartilage repair</w:t>
      </w:r>
    </w:p>
    <w:p w:rsidR="000A60F8" w:rsidRDefault="000A60F8">
      <w:pPr>
        <w:rPr>
          <w:rFonts w:ascii="Arial" w:eastAsia="华康瘦金体W3(P)" w:hAnsi="Arial" w:cs="Arial"/>
          <w:szCs w:val="21"/>
        </w:rPr>
      </w:pPr>
      <w:r>
        <w:rPr>
          <w:rFonts w:ascii="Arial" w:eastAsia="华康瘦金体W3(P)" w:hAnsi="Arial" w:cs="Arial"/>
          <w:b/>
          <w:color w:val="283769"/>
          <w:szCs w:val="21"/>
          <w:shd w:val="clear" w:color="auto" w:fill="FFFFFF"/>
        </w:rPr>
        <w:t>Authors</w:t>
      </w:r>
      <w:r>
        <w:rPr>
          <w:rFonts w:ascii="Arial" w:eastAsia="华康瘦金体W3(P)" w:hAnsi="Arial" w:cs="Arial"/>
          <w:szCs w:val="21"/>
        </w:rPr>
        <w:t xml:space="preserve"> </w:t>
      </w:r>
    </w:p>
    <w:p w:rsidR="000A60F8" w:rsidRDefault="000A60F8">
      <w:pPr>
        <w:rPr>
          <w:rFonts w:ascii="Arial" w:eastAsia="华康瘦金体W3(P)" w:hAnsi="Arial" w:cs="Arial"/>
          <w:color w:val="283769"/>
          <w:szCs w:val="21"/>
          <w:shd w:val="clear" w:color="auto" w:fill="FFFFFF"/>
        </w:rPr>
      </w:pPr>
      <w:r>
        <w:rPr>
          <w:rFonts w:ascii="Arial" w:eastAsia="华康瘦金体W3(P)" w:hAnsi="Arial" w:cs="Arial"/>
          <w:color w:val="283769"/>
          <w:szCs w:val="21"/>
          <w:shd w:val="clear" w:color="auto" w:fill="FFFFFF"/>
        </w:rPr>
        <w:t>Subchondral drilling and microfracture are bone marrow stimulation techniques commonly used for the treatment of cartilage defects. Few studies to date have examined the technical variants which may influence the success of the cartilage repair procedures. This study compared the effect of hole depth (6 mm vs. 2 mm) and hole type (drill vs. microfracture) on chondral defect repair using a mature rabbit model. Results from quantitative histomorphometry and histological scoring showed that deeper versus shallower drilling elicited a greater fill of the cartilage defect with a more hyaline character in the repair matrix indicated by significant improvement (p = 0.021) in the aggregate measure of increased cartilage defect fill, increased glycosaminoglycan and type II collagen content and reduced type I collagen content of total soft repair tissue. Compared to microfracture at the same 2 mm depth, drilling to 2 mm produced a similar quantity and quality of cartilage repair (p = 0.120) according to the aggregate indicator described above. We conclude that the depth of bone marrow stimulation can exert important influences on cartilage repair outcomes</w:t>
      </w:r>
    </w:p>
    <w:p w:rsidR="000A60F8" w:rsidRDefault="000A60F8">
      <w:pPr>
        <w:rPr>
          <w:rFonts w:ascii="Arial" w:eastAsia="华康瘦金体W3(P)" w:hAnsi="Arial" w:cs="Arial"/>
          <w:szCs w:val="21"/>
        </w:rPr>
      </w:pPr>
      <w:r>
        <w:rPr>
          <w:rFonts w:ascii="Arial" w:eastAsia="华康瘦金体W3(P)" w:hAnsi="Arial" w:cs="Arial"/>
          <w:b/>
          <w:color w:val="283769"/>
          <w:szCs w:val="21"/>
          <w:shd w:val="clear" w:color="auto" w:fill="FFFFFF"/>
        </w:rPr>
        <w:t>Link to Article</w:t>
      </w:r>
      <w:r w:rsidR="008D0638">
        <w:rPr>
          <w:rFonts w:ascii="Arial" w:eastAsia="华康瘦金体W3(P)" w:hAnsi="Arial" w:cs="Arial" w:hint="eastAsia"/>
          <w:b/>
          <w:color w:val="283769"/>
          <w:szCs w:val="21"/>
          <w:shd w:val="clear" w:color="auto" w:fill="FFFFFF"/>
        </w:rPr>
        <w:t xml:space="preserve">  </w:t>
      </w:r>
      <w:r>
        <w:rPr>
          <w:rFonts w:ascii="Arial" w:eastAsia="华康瘦金体W3(P)" w:hAnsi="Arial" w:cs="Arial"/>
          <w:szCs w:val="21"/>
        </w:rPr>
        <w:t xml:space="preserve"> </w:t>
      </w:r>
      <w:r w:rsidR="008D0638">
        <w:rPr>
          <w:rFonts w:ascii="Arial" w:eastAsia="华康瘦金体W3(P)" w:hAnsi="Arial" w:cs="Arial" w:hint="eastAsia"/>
          <w:szCs w:val="21"/>
        </w:rPr>
        <w:t>IF~3</w:t>
      </w:r>
    </w:p>
    <w:p w:rsidR="000A60F8" w:rsidRDefault="0089244D">
      <w:pPr>
        <w:rPr>
          <w:rFonts w:ascii="Arial" w:eastAsia="华康瘦金体W3(P)" w:hAnsi="Arial" w:cs="Arial"/>
          <w:szCs w:val="21"/>
        </w:rPr>
      </w:pPr>
      <w:hyperlink r:id="rId33" w:history="1">
        <w:r w:rsidR="000A60F8">
          <w:rPr>
            <w:rFonts w:ascii="Arial" w:eastAsia="华康瘦金体W3(P)" w:hAnsi="Arial" w:cs="Arial"/>
            <w:color w:val="0000FF"/>
            <w:szCs w:val="21"/>
            <w:u w:val="single"/>
          </w:rPr>
          <w:t>http://onlinelibrary.wiley.com/doi/10.1002/jor.21386/abstract;jsessionid=030235819A786C1AD0E1F5CFB6F764E1.f02t02</w:t>
        </w:r>
      </w:hyperlink>
      <w:r w:rsidR="000A60F8">
        <w:rPr>
          <w:rFonts w:ascii="Arial" w:eastAsia="华康瘦金体W3(P)" w:hAnsi="Arial" w:cs="Arial"/>
          <w:szCs w:val="21"/>
        </w:rPr>
        <w:t xml:space="preserve"> </w:t>
      </w:r>
    </w:p>
    <w:p w:rsidR="000A60F8" w:rsidRDefault="000A60F8">
      <w:pPr>
        <w:rPr>
          <w:rFonts w:ascii="Arial" w:eastAsia="华康瘦金体W3(P)" w:hAnsi="Arial" w:cs="Arial"/>
          <w:szCs w:val="21"/>
        </w:rPr>
      </w:pPr>
    </w:p>
    <w:p w:rsidR="000A60F8" w:rsidRDefault="00D028BE">
      <w:pPr>
        <w:shd w:val="solid" w:color="FFFFFF" w:fill="auto"/>
        <w:autoSpaceDN w:val="0"/>
        <w:jc w:val="left"/>
        <w:rPr>
          <w:rFonts w:ascii="Arial" w:eastAsia="华康瘦金体W3(P)" w:hAnsi="Arial" w:cs="Arial"/>
          <w:b/>
          <w:color w:val="5064AE"/>
          <w:szCs w:val="21"/>
          <w:shd w:val="clear" w:color="auto" w:fill="FFFFFF"/>
        </w:rPr>
      </w:pPr>
      <w:r>
        <w:rPr>
          <w:rFonts w:ascii="Arial" w:eastAsia="华康瘦金体W3(P)" w:hAnsi="Arial" w:cs="Arial" w:hint="eastAsia"/>
          <w:b/>
          <w:color w:val="5064AE"/>
          <w:szCs w:val="21"/>
          <w:shd w:val="clear" w:color="auto" w:fill="FFFFFF"/>
        </w:rPr>
        <w:t>18</w:t>
      </w:r>
      <w:r w:rsidR="000A60F8">
        <w:rPr>
          <w:rFonts w:ascii="Arial" w:eastAsia="华康瘦金体W3(P)" w:hAnsi="Arial" w:cs="Arial" w:hint="eastAsia"/>
          <w:b/>
          <w:color w:val="5064AE"/>
          <w:szCs w:val="21"/>
          <w:shd w:val="clear" w:color="auto" w:fill="FFFFFF"/>
        </w:rPr>
        <w:t>.</w:t>
      </w:r>
      <w:r w:rsidR="000A60F8">
        <w:rPr>
          <w:rFonts w:ascii="Arial" w:eastAsia="华康瘦金体W3(P)" w:hAnsi="Arial" w:cs="Arial"/>
          <w:b/>
          <w:color w:val="5064AE"/>
          <w:szCs w:val="21"/>
          <w:shd w:val="clear" w:color="auto" w:fill="FFFFFF"/>
        </w:rPr>
        <w:t>A Comparative Analysis of the Articular Cartilage in the Temporomandibular Joint of Gouging and Nongouging New World Monkeys</w:t>
      </w:r>
    </w:p>
    <w:p w:rsidR="000A60F8" w:rsidRDefault="000A60F8">
      <w:pPr>
        <w:autoSpaceDN w:val="0"/>
        <w:spacing w:line="240" w:lineRule="atLeast"/>
        <w:rPr>
          <w:rFonts w:ascii="Arial" w:eastAsia="华康瘦金体W3(P)" w:hAnsi="Arial" w:cs="Arial"/>
          <w:szCs w:val="21"/>
        </w:rPr>
      </w:pPr>
      <w:r>
        <w:rPr>
          <w:rFonts w:ascii="Arial" w:eastAsia="华康瘦金体W3(P)" w:hAnsi="Arial" w:cs="Arial"/>
          <w:b/>
          <w:color w:val="283769"/>
          <w:szCs w:val="21"/>
          <w:shd w:val="clear" w:color="auto" w:fill="FFFFFF"/>
        </w:rPr>
        <w:t>Authors</w:t>
      </w:r>
    </w:p>
    <w:p w:rsidR="000A60F8" w:rsidRDefault="000A60F8">
      <w:pPr>
        <w:autoSpaceDN w:val="0"/>
        <w:rPr>
          <w:rFonts w:ascii="Arial" w:eastAsia="华康瘦金体W3(P)" w:hAnsi="Arial" w:cs="Arial"/>
          <w:szCs w:val="21"/>
        </w:rPr>
      </w:pPr>
      <w:r>
        <w:rPr>
          <w:rFonts w:ascii="Arial" w:eastAsia="华康瘦金体W3(P)" w:hAnsi="Arial" w:cs="Arial"/>
          <w:color w:val="283769"/>
          <w:szCs w:val="21"/>
          <w:shd w:val="clear" w:color="auto" w:fill="FFFFFF"/>
        </w:rPr>
        <w:t>Amy L. Mork, Walter E. Horton and Christopher J. Vinyard</w:t>
      </w:r>
    </w:p>
    <w:p w:rsidR="000A60F8" w:rsidRDefault="000A60F8">
      <w:pPr>
        <w:rPr>
          <w:rFonts w:ascii="Arial" w:eastAsia="华康瘦金体W3(P)" w:hAnsi="Arial" w:cs="Arial"/>
          <w:szCs w:val="21"/>
        </w:rPr>
      </w:pPr>
      <w:r>
        <w:rPr>
          <w:rFonts w:ascii="Arial" w:eastAsia="华康瘦金体W3(P)" w:hAnsi="Arial" w:cs="Arial"/>
          <w:b/>
          <w:color w:val="283769"/>
          <w:szCs w:val="21"/>
          <w:shd w:val="clear" w:color="auto" w:fill="FFFFFF"/>
        </w:rPr>
        <w:t>Abstract</w:t>
      </w:r>
      <w:r>
        <w:rPr>
          <w:rFonts w:ascii="Arial" w:eastAsia="华康瘦金体W3(P)" w:hAnsi="Arial" w:cs="Arial"/>
          <w:szCs w:val="21"/>
        </w:rPr>
        <w:t xml:space="preserve"> </w:t>
      </w:r>
    </w:p>
    <w:p w:rsidR="000A60F8" w:rsidRDefault="000A60F8">
      <w:pPr>
        <w:rPr>
          <w:rFonts w:ascii="Arial" w:eastAsia="华康瘦金体W3(P)" w:hAnsi="Arial" w:cs="Arial"/>
          <w:color w:val="283769"/>
          <w:szCs w:val="21"/>
          <w:shd w:val="clear" w:color="auto" w:fill="FFFFFF"/>
        </w:rPr>
      </w:pPr>
      <w:r>
        <w:rPr>
          <w:rFonts w:ascii="Arial" w:eastAsia="华康瘦金体W3(P)" w:hAnsi="Arial" w:cs="Arial"/>
          <w:color w:val="283769"/>
          <w:szCs w:val="21"/>
          <w:shd w:val="clear" w:color="auto" w:fill="FFFFFF"/>
        </w:rPr>
        <w:t>Both laboratory and field data demonstrate that marmosets gouge trees with wide jaw gapes to elicit exudate flow. Tree gouging distinguishes marmosets from other platyrrhines and presents a natural experiment for studying the morphological consequences of this derived feeding behavior. We utilize comparative histomorphometrics to determine whether loading of the TMJ at wide jaw gapes impacts articular cartilage form in two habitual gouging species, common (Callitrix jacchus) and pygmy marmosets (Cebuella pygmaea), compared to nongouging cotton-top tamarins (Saguinus oedipus) and squirrel monkeys (Saimiri sciureus). Our histological comparisons found no difference in articular cartilage form along the posterior condyle between gouging and nongouging species. Alternatively, the anterior glenoid of gouging species was relatively larger and deeper compared to nongouging species. These findings suggest that the articular cartilage of the anterior glenoid in gouging species possesses improved load resistance ability and points to the mosaic nature of functional responses to tree gouging in the marmoset masticatory apparatus.</w:t>
      </w:r>
    </w:p>
    <w:p w:rsidR="000A60F8" w:rsidRDefault="000A60F8">
      <w:pPr>
        <w:rPr>
          <w:rFonts w:ascii="Arial" w:eastAsia="华康瘦金体W3(P)" w:hAnsi="Arial" w:cs="Arial"/>
          <w:szCs w:val="21"/>
        </w:rPr>
      </w:pPr>
      <w:r>
        <w:rPr>
          <w:rFonts w:ascii="Arial" w:eastAsia="华康瘦金体W3(P)" w:hAnsi="Arial" w:cs="Arial"/>
          <w:b/>
          <w:color w:val="283769"/>
          <w:szCs w:val="21"/>
          <w:shd w:val="clear" w:color="auto" w:fill="FFFFFF"/>
        </w:rPr>
        <w:t>Link to Article</w:t>
      </w:r>
      <w:r>
        <w:rPr>
          <w:rFonts w:ascii="Arial" w:eastAsia="华康瘦金体W3(P)" w:hAnsi="Arial" w:cs="Arial"/>
          <w:szCs w:val="21"/>
        </w:rPr>
        <w:t xml:space="preserve"> </w:t>
      </w:r>
    </w:p>
    <w:p w:rsidR="000A60F8" w:rsidRDefault="0089244D">
      <w:pPr>
        <w:rPr>
          <w:rFonts w:ascii="SimSun" w:hAnsi="SimSun"/>
          <w:sz w:val="24"/>
        </w:rPr>
      </w:pPr>
      <w:hyperlink r:id="rId34" w:history="1">
        <w:r w:rsidR="000A60F8">
          <w:rPr>
            <w:rFonts w:ascii="Arial" w:eastAsia="华康瘦金体W3(P)" w:hAnsi="Arial" w:cs="Arial"/>
            <w:color w:val="0000FF"/>
            <w:szCs w:val="21"/>
            <w:u w:val="single"/>
          </w:rPr>
          <w:t>http://link.springer.com/chapter/10.1007%2F978-1-4419-6661-2_10</w:t>
        </w:r>
      </w:hyperlink>
      <w:r w:rsidR="000A60F8">
        <w:rPr>
          <w:rFonts w:ascii="SimSun" w:hAnsi="SimSun"/>
          <w:sz w:val="24"/>
        </w:rPr>
        <w:t xml:space="preserve"> </w:t>
      </w:r>
    </w:p>
    <w:p w:rsidR="000A60F8" w:rsidRDefault="000A60F8">
      <w:pPr>
        <w:rPr>
          <w:rFonts w:ascii="SimSun" w:hAnsi="SimSun"/>
          <w:sz w:val="24"/>
        </w:rPr>
      </w:pPr>
    </w:p>
    <w:p w:rsidR="000A60F8" w:rsidRDefault="00D028BE">
      <w:pPr>
        <w:shd w:val="solid" w:color="FFFFFF" w:fill="auto"/>
        <w:autoSpaceDN w:val="0"/>
        <w:jc w:val="left"/>
        <w:rPr>
          <w:rFonts w:ascii="Arial" w:hAnsi="Arial" w:cs="Arial"/>
          <w:b/>
          <w:color w:val="5064AE"/>
          <w:szCs w:val="21"/>
          <w:shd w:val="clear" w:color="auto" w:fill="FFFFFF"/>
        </w:rPr>
      </w:pPr>
      <w:r>
        <w:rPr>
          <w:rFonts w:ascii="Arial" w:hAnsi="Arial" w:cs="Arial" w:hint="eastAsia"/>
          <w:szCs w:val="21"/>
        </w:rPr>
        <w:t>19</w:t>
      </w:r>
      <w:r w:rsidR="000A60F8">
        <w:rPr>
          <w:rFonts w:ascii="Arial" w:hAnsi="Arial" w:cs="Arial"/>
          <w:szCs w:val="21"/>
        </w:rPr>
        <w:t>.</w:t>
      </w:r>
      <w:r w:rsidR="000A60F8">
        <w:rPr>
          <w:rFonts w:ascii="Arial" w:hAnsi="Arial" w:cs="Arial"/>
          <w:b/>
          <w:color w:val="5064AE"/>
          <w:szCs w:val="21"/>
          <w:shd w:val="clear" w:color="auto" w:fill="FFFFFF"/>
        </w:rPr>
        <w:t>ADAMTS5−/− mice have less subchondral bone changes after induction of osteoarthritis through surgical instability: implications for a link between cartilage and subchondral bone changes</w:t>
      </w:r>
    </w:p>
    <w:p w:rsidR="000A60F8" w:rsidRDefault="000A60F8">
      <w:pPr>
        <w:rPr>
          <w:rFonts w:ascii="Arial" w:hAnsi="Arial" w:cs="Arial"/>
          <w:color w:val="283769"/>
          <w:szCs w:val="21"/>
          <w:shd w:val="clear" w:color="auto" w:fill="FFFFFF"/>
        </w:rPr>
      </w:pPr>
      <w:r>
        <w:rPr>
          <w:rFonts w:ascii="Arial" w:hAnsi="Arial" w:cs="Arial"/>
          <w:color w:val="283769"/>
          <w:szCs w:val="21"/>
          <w:shd w:val="clear" w:color="auto" w:fill="FFFFFF"/>
        </w:rPr>
        <w:t>S. Botter (1,2), S. Glasson (3), B. Hopkins (3), S. Clockaerts (1,4), H. Weinans (1), J. van Leeuwen (2), G. van Osch (1,5)</w:t>
      </w:r>
    </w:p>
    <w:p w:rsidR="000A60F8" w:rsidRDefault="000A60F8">
      <w:pPr>
        <w:shd w:val="solid" w:color="FFFFFF" w:fill="auto"/>
        <w:autoSpaceDN w:val="0"/>
        <w:spacing w:beforeAutospacing="1" w:afterAutospacing="1" w:line="285" w:lineRule="atLeast"/>
        <w:jc w:val="left"/>
        <w:rPr>
          <w:rFonts w:ascii="Arial" w:hAnsi="Arial" w:cs="Arial"/>
          <w:b/>
          <w:color w:val="283769"/>
          <w:szCs w:val="21"/>
          <w:shd w:val="clear" w:color="auto" w:fill="FFFFFF"/>
        </w:rPr>
      </w:pPr>
      <w:r>
        <w:rPr>
          <w:rFonts w:ascii="Arial" w:hAnsi="Arial" w:cs="Arial"/>
          <w:b/>
          <w:color w:val="283769"/>
          <w:szCs w:val="21"/>
          <w:shd w:val="clear" w:color="auto" w:fill="FFFFFF"/>
        </w:rPr>
        <w:t>Objective</w:t>
      </w:r>
    </w:p>
    <w:p w:rsidR="000A60F8" w:rsidRDefault="000A60F8">
      <w:pPr>
        <w:shd w:val="solid" w:color="FFFFFF" w:fill="auto"/>
        <w:autoSpaceDN w:val="0"/>
        <w:spacing w:beforeAutospacing="1" w:afterAutospacing="1" w:line="285" w:lineRule="atLeast"/>
        <w:jc w:val="left"/>
        <w:rPr>
          <w:rFonts w:ascii="Arial" w:hAnsi="Arial" w:cs="Arial"/>
          <w:color w:val="283769"/>
          <w:szCs w:val="21"/>
          <w:shd w:val="clear" w:color="auto" w:fill="FFFFFF"/>
        </w:rPr>
      </w:pPr>
      <w:r>
        <w:rPr>
          <w:rFonts w:ascii="Arial" w:hAnsi="Arial" w:cs="Arial"/>
          <w:color w:val="283769"/>
          <w:szCs w:val="21"/>
          <w:shd w:val="clear" w:color="auto" w:fill="FFFFFF"/>
        </w:rPr>
        <w:t>Osteoarthritis (OA) is characterized by damaged articular cartilage and changes in subchondral bone. Previous work demonstrated aggrecanase-2 deficient (ADAMTS5−/−) mice to be protected from cartilage damage induced by joint instability. This study analyzed whether this protective effect on cartilage is also reflected in the subchondral bone structure.</w:t>
      </w:r>
    </w:p>
    <w:p w:rsidR="000A60F8" w:rsidRDefault="000A60F8">
      <w:pPr>
        <w:shd w:val="solid" w:color="FFFFFF" w:fill="auto"/>
        <w:autoSpaceDN w:val="0"/>
        <w:spacing w:beforeAutospacing="1" w:afterAutospacing="1" w:line="285" w:lineRule="atLeast"/>
        <w:jc w:val="left"/>
        <w:rPr>
          <w:rFonts w:ascii="Arial" w:hAnsi="Arial" w:cs="Arial"/>
          <w:b/>
          <w:color w:val="283769"/>
          <w:szCs w:val="21"/>
          <w:shd w:val="clear" w:color="auto" w:fill="FFFFFF"/>
        </w:rPr>
      </w:pPr>
      <w:r>
        <w:rPr>
          <w:rFonts w:ascii="Arial" w:hAnsi="Arial" w:cs="Arial"/>
          <w:b/>
          <w:color w:val="283769"/>
          <w:szCs w:val="21"/>
          <w:shd w:val="clear" w:color="auto" w:fill="FFFFFF"/>
        </w:rPr>
        <w:t>Methods</w:t>
      </w:r>
    </w:p>
    <w:p w:rsidR="000A60F8" w:rsidRDefault="000A60F8">
      <w:pPr>
        <w:shd w:val="solid" w:color="FFFFFF" w:fill="auto"/>
        <w:autoSpaceDN w:val="0"/>
        <w:spacing w:beforeAutospacing="1" w:afterAutospacing="1" w:line="285" w:lineRule="atLeast"/>
        <w:jc w:val="left"/>
        <w:rPr>
          <w:rFonts w:ascii="Arial" w:hAnsi="Arial" w:cs="Arial"/>
          <w:color w:val="283769"/>
          <w:szCs w:val="21"/>
          <w:shd w:val="clear" w:color="auto" w:fill="FFFFFF"/>
        </w:rPr>
      </w:pPr>
      <w:r>
        <w:rPr>
          <w:rFonts w:ascii="Arial" w:hAnsi="Arial" w:cs="Arial"/>
          <w:color w:val="283769"/>
          <w:szCs w:val="21"/>
          <w:shd w:val="clear" w:color="auto" w:fill="FFFFFF"/>
        </w:rPr>
        <w:t>Right knee joints from 10-week old male wild type (WT) and ADAMTS5−/− mice received transection of the medial meniscotibial ligament to induce OA, whereas left knees were left unoperated. After 8 weeks knee joints were scanned by micro-CT. The proximal tibia was selected for further analysis. Histology was performed to evaluate cartilage damage and osteoclast presence.</w:t>
      </w:r>
    </w:p>
    <w:p w:rsidR="000A60F8" w:rsidRDefault="000A60F8">
      <w:pPr>
        <w:shd w:val="solid" w:color="FFFFFF" w:fill="auto"/>
        <w:autoSpaceDN w:val="0"/>
        <w:spacing w:beforeAutospacing="1" w:afterAutospacing="1" w:line="285" w:lineRule="atLeast"/>
        <w:jc w:val="left"/>
        <w:rPr>
          <w:rFonts w:ascii="Arial" w:hAnsi="Arial" w:cs="Arial"/>
          <w:b/>
          <w:color w:val="283769"/>
          <w:szCs w:val="21"/>
          <w:shd w:val="clear" w:color="auto" w:fill="FFFFFF"/>
        </w:rPr>
      </w:pPr>
      <w:r>
        <w:rPr>
          <w:rFonts w:ascii="Arial" w:hAnsi="Arial" w:cs="Arial"/>
          <w:b/>
          <w:color w:val="283769"/>
          <w:szCs w:val="21"/>
          <w:shd w:val="clear" w:color="auto" w:fill="FFFFFF"/>
        </w:rPr>
        <w:t>Results</w:t>
      </w:r>
    </w:p>
    <w:p w:rsidR="000A60F8" w:rsidRDefault="000A60F8">
      <w:pPr>
        <w:shd w:val="solid" w:color="FFFFFF" w:fill="auto"/>
        <w:autoSpaceDN w:val="0"/>
        <w:spacing w:beforeAutospacing="1" w:afterAutospacing="1" w:line="285" w:lineRule="atLeast"/>
        <w:jc w:val="left"/>
        <w:rPr>
          <w:rFonts w:ascii="Arial" w:hAnsi="Arial" w:cs="Arial"/>
          <w:color w:val="283769"/>
          <w:szCs w:val="21"/>
          <w:shd w:val="clear" w:color="auto" w:fill="FFFFFF"/>
        </w:rPr>
      </w:pPr>
      <w:r>
        <w:rPr>
          <w:rFonts w:ascii="Arial" w:hAnsi="Arial" w:cs="Arial"/>
          <w:color w:val="283769"/>
          <w:szCs w:val="21"/>
          <w:shd w:val="clear" w:color="auto" w:fill="FFFFFF"/>
        </w:rPr>
        <w:t>ADAMTS5−/− joints had a significantly thinner subchondral plate and less epiphyseal trabecular bone compared to WT joints. Histology confirmed previous findings that ADAMTS5−/− mice have significantly less cartilage damage than WT in the instability-induced OA model. Although the subchondral bone plate became significantly thicker at the medial tibial plateau in operated joints of both genotypes, the percentage increase was significantly smaller in ADAMTS5−/− mice (WT: 20.7±4.7%, ADAMTS5−/−: 8.3±1.2% compared to the left unoperated control joint). In ADAMTS5−/− animals a significant decrease was found in both Oc.N./BS and Oc.S./BS. Finally, in WT but not in ADAMTS5−/− mice a significant correlation was found between medial subchondral bone plate thickness and cartilage damage at the medial tibial plateau.</w:t>
      </w:r>
    </w:p>
    <w:p w:rsidR="000A60F8" w:rsidRDefault="000A60F8">
      <w:pPr>
        <w:shd w:val="solid" w:color="FFFFFF" w:fill="auto"/>
        <w:autoSpaceDN w:val="0"/>
        <w:spacing w:beforeAutospacing="1" w:afterAutospacing="1" w:line="285" w:lineRule="atLeast"/>
        <w:jc w:val="left"/>
        <w:rPr>
          <w:rFonts w:ascii="Arial" w:hAnsi="Arial" w:cs="Arial"/>
          <w:b/>
          <w:color w:val="283769"/>
          <w:szCs w:val="21"/>
          <w:shd w:val="clear" w:color="auto" w:fill="FFFFFF"/>
        </w:rPr>
      </w:pPr>
      <w:r>
        <w:rPr>
          <w:rFonts w:ascii="Arial" w:hAnsi="Arial" w:cs="Arial"/>
          <w:b/>
          <w:color w:val="283769"/>
          <w:szCs w:val="21"/>
          <w:shd w:val="clear" w:color="auto" w:fill="FFFFFF"/>
        </w:rPr>
        <w:t>Conclusion</w:t>
      </w:r>
    </w:p>
    <w:p w:rsidR="000A60F8" w:rsidRDefault="000A60F8">
      <w:pPr>
        <w:shd w:val="solid" w:color="FFFFFF" w:fill="auto"/>
        <w:autoSpaceDN w:val="0"/>
        <w:spacing w:beforeAutospacing="1" w:afterAutospacing="1" w:line="285" w:lineRule="atLeast"/>
        <w:jc w:val="left"/>
        <w:rPr>
          <w:rFonts w:ascii="Arial" w:hAnsi="Arial" w:cs="Arial"/>
          <w:color w:val="283769"/>
          <w:szCs w:val="21"/>
          <w:shd w:val="clear" w:color="auto" w:fill="FFFFFF"/>
        </w:rPr>
      </w:pPr>
      <w:r>
        <w:rPr>
          <w:rFonts w:ascii="Arial" w:hAnsi="Arial" w:cs="Arial"/>
          <w:color w:val="283769"/>
          <w:szCs w:val="21"/>
          <w:shd w:val="clear" w:color="auto" w:fill="FFFFFF"/>
        </w:rPr>
        <w:t>ADAMTS5−/− joints that were protected from cartilage damage showed minor changes in the subchondral bone structure, in contrast to WT mice where substantial changes were found. This finding suggests links between the process of cartilage damage and subchondral bone changes in instability-induced OA.</w:t>
      </w:r>
    </w:p>
    <w:p w:rsidR="000A60F8" w:rsidRDefault="0089244D">
      <w:pPr>
        <w:rPr>
          <w:rFonts w:ascii="SimSun" w:hAnsi="SimSun"/>
          <w:sz w:val="24"/>
        </w:rPr>
      </w:pPr>
      <w:hyperlink r:id="rId35" w:history="1">
        <w:r w:rsidR="000A60F8">
          <w:rPr>
            <w:rFonts w:ascii="SimSun" w:hAnsi="SimSun"/>
            <w:color w:val="0000FF"/>
            <w:sz w:val="24"/>
            <w:u w:val="single"/>
          </w:rPr>
          <w:t>http://www.oarsijournal.com/article/S1063-4584(08)00323-3/abstract</w:t>
        </w:r>
      </w:hyperlink>
      <w:r w:rsidR="000A60F8">
        <w:rPr>
          <w:rFonts w:ascii="SimSun" w:hAnsi="SimSun"/>
          <w:sz w:val="24"/>
        </w:rPr>
        <w:t xml:space="preserve"> </w:t>
      </w:r>
    </w:p>
    <w:p w:rsidR="000A60F8" w:rsidRDefault="000A60F8">
      <w:pPr>
        <w:rPr>
          <w:rFonts w:ascii="SimSun" w:hAnsi="SimSun"/>
          <w:sz w:val="24"/>
        </w:rPr>
      </w:pPr>
    </w:p>
    <w:p w:rsidR="000A60F8" w:rsidRDefault="003762E0">
      <w:pPr>
        <w:shd w:val="solid" w:color="FFFFFF" w:fill="auto"/>
        <w:autoSpaceDN w:val="0"/>
        <w:jc w:val="left"/>
        <w:rPr>
          <w:rFonts w:ascii="Arial" w:hAnsi="Arial" w:cs="Arial"/>
          <w:b/>
          <w:color w:val="5064AE"/>
          <w:szCs w:val="21"/>
          <w:shd w:val="clear" w:color="auto" w:fill="FFFFFF"/>
        </w:rPr>
      </w:pPr>
      <w:r>
        <w:rPr>
          <w:rFonts w:ascii="Arial" w:hAnsi="Arial" w:cs="Arial" w:hint="eastAsia"/>
          <w:szCs w:val="21"/>
        </w:rPr>
        <w:t>20</w:t>
      </w:r>
      <w:r w:rsidR="000A60F8">
        <w:rPr>
          <w:rFonts w:ascii="Arial" w:hAnsi="Arial" w:cs="Arial"/>
          <w:szCs w:val="21"/>
        </w:rPr>
        <w:t>.</w:t>
      </w:r>
      <w:r w:rsidR="000A60F8">
        <w:rPr>
          <w:rFonts w:ascii="Arial" w:hAnsi="Arial" w:cs="Arial"/>
          <w:b/>
          <w:color w:val="5064AE"/>
          <w:szCs w:val="21"/>
          <w:shd w:val="clear" w:color="auto" w:fill="FFFFFF"/>
        </w:rPr>
        <w:t>Returning to overuse activity following a supraspinatus and infraspinatus tear leads to joint damage in a rat model</w:t>
      </w:r>
    </w:p>
    <w:p w:rsidR="000A60F8" w:rsidRDefault="000A60F8">
      <w:pPr>
        <w:rPr>
          <w:rFonts w:ascii="Arial" w:hAnsi="Arial" w:cs="Arial"/>
          <w:color w:val="283769"/>
          <w:szCs w:val="21"/>
          <w:shd w:val="clear" w:color="auto" w:fill="FFFFFF"/>
        </w:rPr>
      </w:pPr>
      <w:r>
        <w:rPr>
          <w:rFonts w:ascii="Arial" w:hAnsi="Arial" w:cs="Arial"/>
          <w:b/>
          <w:color w:val="283769"/>
          <w:szCs w:val="21"/>
          <w:shd w:val="clear" w:color="auto" w:fill="FFFFFF"/>
        </w:rPr>
        <w:t>Authors</w:t>
      </w:r>
      <w:r>
        <w:rPr>
          <w:rFonts w:ascii="Arial" w:hAnsi="Arial" w:cs="Arial"/>
          <w:szCs w:val="21"/>
        </w:rPr>
        <w:br/>
      </w:r>
      <w:r>
        <w:rPr>
          <w:rFonts w:ascii="Arial" w:hAnsi="Arial" w:cs="Arial"/>
          <w:color w:val="283769"/>
          <w:szCs w:val="21"/>
          <w:shd w:val="clear" w:color="auto" w:fill="FFFFFF"/>
        </w:rPr>
        <w:t>Katherine E. Reuther, Stephen J. Thomas, Elisabeth F. Evans, Jennica J. Tucker, Joseph J. Sarver, Sarah Ilkhani-Pour, Chancellor F. Gray, Pramod B. Voleti, David L. Glaser, Louis J. Soslowsky</w:t>
      </w:r>
      <w:r>
        <w:rPr>
          <w:rFonts w:ascii="Arial" w:hAnsi="Arial" w:cs="Arial"/>
          <w:szCs w:val="21"/>
        </w:rPr>
        <w:br/>
      </w:r>
      <w:r>
        <w:rPr>
          <w:rFonts w:ascii="Arial" w:hAnsi="Arial" w:cs="Arial"/>
          <w:b/>
          <w:color w:val="283769"/>
          <w:szCs w:val="21"/>
          <w:shd w:val="clear" w:color="auto" w:fill="FFFFFF"/>
        </w:rPr>
        <w:t>Abstract</w:t>
      </w:r>
      <w:r>
        <w:rPr>
          <w:rFonts w:ascii="Arial" w:hAnsi="Arial" w:cs="Arial"/>
          <w:szCs w:val="21"/>
        </w:rPr>
        <w:br/>
      </w:r>
      <w:r>
        <w:rPr>
          <w:rFonts w:ascii="Arial" w:hAnsi="Arial" w:cs="Arial"/>
          <w:color w:val="283769"/>
          <w:szCs w:val="21"/>
          <w:shd w:val="clear" w:color="auto" w:fill="FFFFFF"/>
        </w:rPr>
        <w:t>Large rotator cuff tears (supraspinatus and infraspinatus) are common in patients who perform overhead activities (laborers, athletes). In addition, following large cuff tears, these patients commonly attempt to return to pre-injury activity levels. However, there is a limited understanding of the damaging effects on the uninjured joint tissues when doing so. Therefore, the objective of this study was to investigate the effect of returning to overuse activity following a supraspinatus and infraspinatus tear on shoulder function and the structural and biological properties of the intact tendons and glenoid cartilage. Forty rats underwent 4 weeks of overuse followed by detachment of the supraspinatus and infraspinatus tendons and were then randomized into two groups: return to overuse or cage activity. Ambulatory measurements were performed over time and structural and biological properties of the adjacent tendons and cartilage were evaluated. Results demonstrated that animals returning to overuse activity did not have altered shoulder function but despite this, did have altered cartilage and tendon properties. These mechanical changes corresponded to altered transcriptional regulation of chondrogenic genes within cartilage and tendon. This study helps define the mechanical and biological mechanisms leading to joint damage and provides a framework for treating active cuff tear patients.</w:t>
      </w:r>
    </w:p>
    <w:p w:rsidR="000A60F8" w:rsidRDefault="0089244D">
      <w:pPr>
        <w:jc w:val="left"/>
        <w:rPr>
          <w:rFonts w:ascii="SimSun" w:hAnsi="SimSun"/>
          <w:sz w:val="24"/>
        </w:rPr>
      </w:pPr>
      <w:hyperlink r:id="rId36" w:history="1">
        <w:r w:rsidR="000A60F8">
          <w:rPr>
            <w:rFonts w:ascii="SimSun" w:hAnsi="SimSun"/>
            <w:color w:val="0000FF"/>
            <w:sz w:val="24"/>
            <w:u w:val="single"/>
          </w:rPr>
          <w:t>http://www.jbiomech.com/article/S0021-9290(13)00228-5/abstract</w:t>
        </w:r>
      </w:hyperlink>
      <w:r w:rsidR="000A60F8">
        <w:rPr>
          <w:rFonts w:ascii="SimSun" w:hAnsi="SimSun"/>
          <w:sz w:val="24"/>
        </w:rPr>
        <w:t xml:space="preserve"> </w:t>
      </w:r>
    </w:p>
    <w:p w:rsidR="000A60F8" w:rsidRDefault="000A60F8">
      <w:pPr>
        <w:jc w:val="left"/>
        <w:rPr>
          <w:rFonts w:ascii="SimSun" w:hAnsi="SimSun"/>
          <w:sz w:val="24"/>
        </w:rPr>
      </w:pPr>
    </w:p>
    <w:p w:rsidR="000A60F8" w:rsidRDefault="003762E0">
      <w:pPr>
        <w:shd w:val="solid" w:color="FFFFFF" w:fill="auto"/>
        <w:autoSpaceDN w:val="0"/>
        <w:jc w:val="left"/>
        <w:rPr>
          <w:rFonts w:ascii="Arial" w:hAnsi="Arial" w:cs="Arial"/>
          <w:b/>
          <w:color w:val="5064AE"/>
          <w:szCs w:val="21"/>
          <w:shd w:val="clear" w:color="auto" w:fill="FFFFFF"/>
        </w:rPr>
      </w:pPr>
      <w:r>
        <w:rPr>
          <w:rFonts w:ascii="Arial" w:hAnsi="Arial" w:cs="Arial" w:hint="eastAsia"/>
          <w:szCs w:val="21"/>
        </w:rPr>
        <w:t>21</w:t>
      </w:r>
      <w:r w:rsidR="000A60F8">
        <w:rPr>
          <w:rFonts w:ascii="Arial" w:hAnsi="Arial" w:cs="Arial"/>
          <w:szCs w:val="21"/>
        </w:rPr>
        <w:t>.</w:t>
      </w:r>
      <w:r w:rsidR="000A60F8">
        <w:rPr>
          <w:rFonts w:ascii="Arial" w:hAnsi="Arial" w:cs="Arial"/>
          <w:b/>
          <w:color w:val="5064AE"/>
          <w:szCs w:val="21"/>
          <w:shd w:val="clear" w:color="auto" w:fill="FFFFFF"/>
        </w:rPr>
        <w:t>Matrix generation within a macroporous non-degradable implant for osteochondral defects is not enhanced with partial enzymatic digestion of the surrounding tissue: evaluation in an in vivo rabbit model</w:t>
      </w:r>
    </w:p>
    <w:p w:rsidR="000A60F8" w:rsidRDefault="000A60F8">
      <w:pPr>
        <w:jc w:val="left"/>
        <w:rPr>
          <w:rFonts w:ascii="Arial" w:hAnsi="Arial" w:cs="Arial"/>
          <w:b/>
          <w:color w:val="283769"/>
          <w:szCs w:val="21"/>
          <w:shd w:val="clear" w:color="auto" w:fill="FFFFFF"/>
        </w:rPr>
      </w:pPr>
      <w:r>
        <w:rPr>
          <w:rFonts w:ascii="Arial" w:hAnsi="Arial" w:cs="Arial"/>
          <w:b/>
          <w:color w:val="283769"/>
          <w:szCs w:val="21"/>
          <w:shd w:val="clear" w:color="auto" w:fill="FFFFFF"/>
        </w:rPr>
        <w:t>Authors</w:t>
      </w:r>
      <w:r>
        <w:rPr>
          <w:rFonts w:ascii="Arial" w:hAnsi="Arial" w:cs="Arial"/>
          <w:color w:val="283769"/>
          <w:szCs w:val="21"/>
          <w:shd w:val="clear" w:color="auto" w:fill="FFFFFF"/>
        </w:rPr>
        <w:br/>
        <w:t>Aaron J. Krych, Florian Wanivenhaus, Kenneth W. Ng, Stephen Doty, Russell F. Warren, Suzanne A. Maher</w:t>
      </w:r>
      <w:r>
        <w:rPr>
          <w:rFonts w:ascii="Arial" w:hAnsi="Arial" w:cs="Arial"/>
          <w:color w:val="283769"/>
          <w:szCs w:val="21"/>
          <w:shd w:val="clear" w:color="auto" w:fill="FFFFFF"/>
        </w:rPr>
        <w:br/>
      </w:r>
      <w:r>
        <w:rPr>
          <w:rFonts w:ascii="Arial" w:hAnsi="Arial" w:cs="Arial"/>
          <w:b/>
          <w:color w:val="283769"/>
          <w:szCs w:val="21"/>
          <w:shd w:val="clear" w:color="auto" w:fill="FFFFFF"/>
        </w:rPr>
        <w:t>Abstract</w:t>
      </w:r>
      <w:r>
        <w:rPr>
          <w:rFonts w:ascii="Arial" w:hAnsi="Arial" w:cs="Arial"/>
          <w:color w:val="283769"/>
          <w:szCs w:val="21"/>
          <w:shd w:val="clear" w:color="auto" w:fill="FFFFFF"/>
        </w:rPr>
        <w:br/>
        <w:t>Articular cartilage defects are a significant source of pain, have limited ability to heal, and can lead to the development of osteoarthritis. However, a surgical solution is not available. To tackle this clinical problem, non-degradable implants capable of carrying mechanical load immediately after implantation and for the duration of implantation, while integrating with the host tissue, may be viable option. But integration between articular cartilage and non-degradable implants is not well studied. Our objective was to assess the in vivo performance of a novel macroporous, nondegradable, polyvinyl alcohol construct. We hypothesized that matrix generation within the implant would be enhanced with partial digestion of the edges of articular cartilage. Our hypothesis was tested by randomizing an osteochondral defect created in the trochlea of 14 New Zealand white rabbits to treatment with: (i) collagenase or (ii) saline, prior to insertion of the implant. At 1 and 3-month post-operatively, the gross morphology and histologic appearance of the implants and the surrounding tissue were assessed. At 3 months, the mechanical properties of the implant were also quantified. Overall, the hydrogel implants performed favorably; at all time-points and in all groups the implants remained well fixed, did not cause inflammation or synovitis, and did not cause extensive damage to the opposing articular cartilage. Regardless of treatment with saline or collagenase, at 1 month post-operatively implants from both groups had a contiguous interface with adjacent cartilage and were populated with chondrocyte-like cells. At 3 months fibrous encapsulation of all implants was evident, there was no difference between area of aggrecan staining in the collagenase versus saline groups, and implant modulus was similar in both groups; leading us to reject our hypothesis. In summary, a porous PVA osteochondral implant remained well fixed in a short term in vivo osteochondral defect model; however, matrix generation within the implant was not enhanced with partial digestion of adjacent articular cartilage.</w:t>
      </w:r>
      <w:r>
        <w:rPr>
          <w:rFonts w:ascii="Arial" w:hAnsi="Arial" w:cs="Arial"/>
          <w:color w:val="283769"/>
          <w:szCs w:val="21"/>
          <w:shd w:val="clear" w:color="auto" w:fill="FFFFFF"/>
        </w:rPr>
        <w:br/>
      </w:r>
      <w:r>
        <w:rPr>
          <w:rFonts w:ascii="Arial" w:hAnsi="Arial" w:cs="Arial"/>
          <w:color w:val="283769"/>
          <w:szCs w:val="21"/>
          <w:shd w:val="clear" w:color="auto" w:fill="FFFFFF"/>
        </w:rPr>
        <w:br/>
      </w:r>
      <w:r>
        <w:rPr>
          <w:rFonts w:ascii="Arial" w:hAnsi="Arial" w:cs="Arial"/>
          <w:b/>
          <w:color w:val="283769"/>
          <w:szCs w:val="21"/>
          <w:shd w:val="clear" w:color="auto" w:fill="FFFFFF"/>
        </w:rPr>
        <w:t>Link to Article</w:t>
      </w:r>
    </w:p>
    <w:p w:rsidR="000A60F8" w:rsidRDefault="0089244D">
      <w:pPr>
        <w:jc w:val="left"/>
        <w:rPr>
          <w:rFonts w:ascii="SimSun" w:hAnsi="SimSun"/>
          <w:sz w:val="24"/>
        </w:rPr>
      </w:pPr>
      <w:hyperlink r:id="rId37" w:history="1">
        <w:r w:rsidR="000A60F8">
          <w:rPr>
            <w:rFonts w:ascii="SimSun" w:hAnsi="SimSun"/>
            <w:color w:val="0000FF"/>
            <w:sz w:val="24"/>
            <w:u w:val="single"/>
          </w:rPr>
          <w:t>http://link.springer.com/article/10.1007%2Fs10856-013-4999-x</w:t>
        </w:r>
      </w:hyperlink>
      <w:r w:rsidR="000A60F8">
        <w:rPr>
          <w:rFonts w:ascii="SimSun" w:hAnsi="SimSun"/>
          <w:sz w:val="24"/>
        </w:rPr>
        <w:t xml:space="preserve"> </w:t>
      </w:r>
    </w:p>
    <w:p w:rsidR="000A60F8" w:rsidRDefault="000A60F8">
      <w:pPr>
        <w:jc w:val="left"/>
        <w:rPr>
          <w:rFonts w:ascii="SimSun" w:hAnsi="SimSun"/>
          <w:sz w:val="24"/>
        </w:rPr>
      </w:pPr>
    </w:p>
    <w:p w:rsidR="000A60F8" w:rsidRDefault="003762E0">
      <w:pPr>
        <w:shd w:val="solid" w:color="FFFFFF" w:fill="auto"/>
        <w:autoSpaceDN w:val="0"/>
        <w:jc w:val="left"/>
        <w:rPr>
          <w:rFonts w:ascii="Arial" w:hAnsi="Arial" w:cs="Arial"/>
          <w:b/>
          <w:color w:val="5064AE"/>
          <w:szCs w:val="21"/>
          <w:shd w:val="clear" w:color="auto" w:fill="FFFFFF"/>
        </w:rPr>
      </w:pPr>
      <w:r>
        <w:rPr>
          <w:rFonts w:ascii="SimSun" w:hAnsi="SimSun" w:hint="eastAsia"/>
          <w:sz w:val="24"/>
        </w:rPr>
        <w:t>22</w:t>
      </w:r>
      <w:r w:rsidR="000A60F8">
        <w:rPr>
          <w:rFonts w:ascii="Arial" w:hAnsi="Arial" w:cs="Arial"/>
          <w:szCs w:val="21"/>
        </w:rPr>
        <w:t>.</w:t>
      </w:r>
      <w:r w:rsidR="000A60F8">
        <w:rPr>
          <w:rFonts w:ascii="Arial" w:hAnsi="Arial" w:cs="Arial"/>
          <w:b/>
          <w:color w:val="5064AE"/>
          <w:szCs w:val="21"/>
          <w:shd w:val="clear" w:color="auto" w:fill="FFFFFF"/>
        </w:rPr>
        <w:t>Modification of osteoarthritis in the guinea pig with pulsed low-intensity ultrasound treatment</w:t>
      </w:r>
    </w:p>
    <w:p w:rsidR="000A60F8" w:rsidRDefault="000A60F8">
      <w:pPr>
        <w:shd w:val="solid" w:color="FFFFFF" w:fill="auto"/>
        <w:autoSpaceDN w:val="0"/>
        <w:spacing w:line="285" w:lineRule="atLeast"/>
        <w:jc w:val="left"/>
        <w:rPr>
          <w:rFonts w:ascii="Arial" w:hAnsi="Arial" w:cs="Arial"/>
          <w:b/>
          <w:color w:val="283769"/>
          <w:szCs w:val="21"/>
          <w:shd w:val="clear" w:color="auto" w:fill="FFFFFF"/>
        </w:rPr>
      </w:pPr>
      <w:r>
        <w:rPr>
          <w:rFonts w:ascii="Arial" w:hAnsi="Arial" w:cs="Arial"/>
          <w:b/>
          <w:color w:val="283769"/>
          <w:szCs w:val="21"/>
          <w:shd w:val="clear" w:color="auto" w:fill="FFFFFF"/>
        </w:rPr>
        <w:t>Authors</w:t>
      </w:r>
    </w:p>
    <w:p w:rsidR="000A60F8" w:rsidRDefault="000A60F8">
      <w:pPr>
        <w:shd w:val="solid" w:color="FFFFFF" w:fill="auto"/>
        <w:autoSpaceDN w:val="0"/>
        <w:spacing w:line="285" w:lineRule="atLeast"/>
        <w:jc w:val="left"/>
        <w:rPr>
          <w:rFonts w:ascii="Arial" w:hAnsi="Arial" w:cs="Arial"/>
          <w:color w:val="283769"/>
          <w:szCs w:val="21"/>
          <w:shd w:val="clear" w:color="auto" w:fill="FFFFFF"/>
        </w:rPr>
      </w:pPr>
      <w:r>
        <w:rPr>
          <w:rFonts w:ascii="Arial" w:hAnsi="Arial" w:cs="Arial"/>
          <w:color w:val="283769"/>
          <w:szCs w:val="21"/>
          <w:shd w:val="clear" w:color="auto" w:fill="FFFFFF"/>
        </w:rPr>
        <w:t>I. Gu</w:t>
      </w:r>
      <w:r w:rsidR="003762E0">
        <w:rPr>
          <w:rFonts w:ascii="Arial" w:hAnsi="Arial" w:cs="Arial"/>
          <w:color w:val="283769"/>
          <w:szCs w:val="21"/>
          <w:shd w:val="clear" w:color="auto" w:fill="FFFFFF"/>
        </w:rPr>
        <w:t xml:space="preserve">rkan, A. Ranganathan, X. Yang, </w:t>
      </w:r>
      <w:r>
        <w:rPr>
          <w:rFonts w:ascii="Arial" w:hAnsi="Arial" w:cs="Arial"/>
          <w:color w:val="283769"/>
          <w:szCs w:val="21"/>
          <w:shd w:val="clear" w:color="auto" w:fill="FFFFFF"/>
        </w:rPr>
        <w:t xml:space="preserve"> J. Huckle, N. Pleshko, R.G. Spencer</w:t>
      </w:r>
    </w:p>
    <w:p w:rsidR="000A60F8" w:rsidRDefault="000A60F8">
      <w:pPr>
        <w:shd w:val="solid" w:color="FFFFFF" w:fill="auto"/>
        <w:autoSpaceDN w:val="0"/>
        <w:spacing w:line="285" w:lineRule="atLeast"/>
        <w:jc w:val="left"/>
        <w:rPr>
          <w:rFonts w:ascii="Arial" w:hAnsi="Arial" w:cs="Arial"/>
          <w:b/>
          <w:color w:val="283769"/>
          <w:szCs w:val="21"/>
          <w:shd w:val="clear" w:color="auto" w:fill="FFFFFF"/>
        </w:rPr>
      </w:pPr>
      <w:r>
        <w:rPr>
          <w:rFonts w:ascii="Arial" w:hAnsi="Arial" w:cs="Arial"/>
          <w:b/>
          <w:color w:val="283769"/>
          <w:szCs w:val="21"/>
          <w:shd w:val="clear" w:color="auto" w:fill="FFFFFF"/>
        </w:rPr>
        <w:t>Abstract</w:t>
      </w:r>
    </w:p>
    <w:p w:rsidR="000A60F8" w:rsidRDefault="000A60F8">
      <w:pPr>
        <w:shd w:val="solid" w:color="FFFFFF" w:fill="auto"/>
        <w:autoSpaceDN w:val="0"/>
        <w:spacing w:line="285" w:lineRule="atLeast"/>
        <w:jc w:val="left"/>
        <w:rPr>
          <w:rFonts w:ascii="Arial" w:hAnsi="Arial" w:cs="Arial"/>
          <w:color w:val="283769"/>
          <w:szCs w:val="21"/>
          <w:shd w:val="clear" w:color="auto" w:fill="FFFFFF"/>
        </w:rPr>
      </w:pPr>
      <w:r>
        <w:rPr>
          <w:rFonts w:ascii="Arial" w:hAnsi="Arial" w:cs="Arial"/>
          <w:color w:val="283769"/>
          <w:szCs w:val="21"/>
          <w:shd w:val="clear" w:color="auto" w:fill="FFFFFF"/>
        </w:rPr>
        <w:t>The Hartley guinea pig develops articular cartilage degeneration similar to that seen in idiopathic human osteoarthritis (OA). We investigated whether the application of pulsed low-intensity ultrasound (PLIUS) to the Hartley guinea pig joint would prevent or attenuate the progression of this degenerative process. Treatment of male Hartley guinea pigs was initiated at the onset of degeneration (8 weeks of age) to assess the ability of PLIUS to prevent OA, or at a later age (12 months) to assess the degree to which PLIUS acted to attenuate the progression of established disease. PLIUS (30mW/cm2) was applied to stifle joints for 20min/day over periods ranging from 3 to 10 months, with contralateral limbs serving as controls. Joint cartilage histology was graded according to a modified Mankin scale to evaluate treatment effect. Immunohistochemical staining for interleukin-1 receptor antagonist (IL-1ra), matrix metalloproteinase (MMP)-3, MMP-13, and transforming growth factor (TGF)-β1 was performed on the cartilage to evaluate patterns of expression of these proteins. PLIUS did not fully prevent cartilage degeneration in the prevention groups, but diminished the severity of the disease, with the treated joints showing markedly decreased surface irregularities and a much smaller degree of loss of matrix staining as compared to controls. PLIUS also attenuated disease progression in the groups with established disease, although to a somewhat lesser extent as compared to the prevention groups. Immunohistochemical staining demonstrated a markedly decreased degree of TGF-β1 production in the PLIUS-treated joints. This indicates less active endogenous repair, consistent with the marked reduction in cartilage degradation. PLIUS exhibits the ability to attenuate the progression of cartilage degeneration in an animal model of idiopathic human OA. The effect was greater in the treatment of early, rather than established, degeneration.</w:t>
      </w:r>
    </w:p>
    <w:p w:rsidR="000A60F8" w:rsidRDefault="000A60F8">
      <w:pPr>
        <w:shd w:val="solid" w:color="FFFFFF" w:fill="auto"/>
        <w:autoSpaceDN w:val="0"/>
        <w:spacing w:line="285" w:lineRule="atLeast"/>
        <w:jc w:val="left"/>
        <w:rPr>
          <w:rFonts w:ascii="Arial" w:hAnsi="Arial" w:cs="Arial"/>
          <w:b/>
          <w:color w:val="283769"/>
          <w:szCs w:val="21"/>
          <w:shd w:val="clear" w:color="auto" w:fill="FFFFFF"/>
        </w:rPr>
      </w:pPr>
      <w:r>
        <w:rPr>
          <w:rFonts w:ascii="Arial" w:hAnsi="Arial" w:cs="Arial"/>
          <w:b/>
          <w:color w:val="283769"/>
          <w:szCs w:val="21"/>
          <w:shd w:val="clear" w:color="auto" w:fill="FFFFFF"/>
        </w:rPr>
        <w:t>Link to Article</w:t>
      </w:r>
    </w:p>
    <w:p w:rsidR="000A60F8" w:rsidRDefault="0089244D">
      <w:pPr>
        <w:shd w:val="solid" w:color="FFFFFF" w:fill="auto"/>
        <w:autoSpaceDN w:val="0"/>
        <w:spacing w:line="285" w:lineRule="atLeast"/>
        <w:jc w:val="left"/>
        <w:rPr>
          <w:rFonts w:ascii="Arial" w:hAnsi="Arial" w:cs="Arial"/>
          <w:b/>
          <w:color w:val="283769"/>
          <w:szCs w:val="21"/>
          <w:shd w:val="clear" w:color="auto" w:fill="FFFFFF"/>
        </w:rPr>
      </w:pPr>
      <w:hyperlink r:id="rId38" w:history="1">
        <w:r w:rsidR="000A60F8">
          <w:rPr>
            <w:rFonts w:ascii="Arial" w:hAnsi="Arial" w:cs="Arial"/>
            <w:color w:val="0000FF"/>
            <w:szCs w:val="21"/>
            <w:u w:val="single"/>
          </w:rPr>
          <w:t>http://www.oarsijournal.com/article/S1063-4584(10)00033-6/abstract</w:t>
        </w:r>
      </w:hyperlink>
      <w:r w:rsidR="000A60F8">
        <w:rPr>
          <w:rFonts w:ascii="Arial" w:hAnsi="Arial" w:cs="Arial"/>
          <w:szCs w:val="21"/>
        </w:rPr>
        <w:t xml:space="preserve"> </w:t>
      </w:r>
    </w:p>
    <w:p w:rsidR="000A60F8" w:rsidRDefault="000A60F8">
      <w:pPr>
        <w:jc w:val="left"/>
        <w:rPr>
          <w:rFonts w:ascii="SimSun" w:hAnsi="SimSun"/>
          <w:sz w:val="24"/>
        </w:rPr>
      </w:pPr>
    </w:p>
    <w:p w:rsidR="000A60F8" w:rsidRDefault="003762E0">
      <w:pPr>
        <w:shd w:val="solid" w:color="FFFFFF" w:fill="auto"/>
        <w:autoSpaceDN w:val="0"/>
        <w:jc w:val="left"/>
        <w:rPr>
          <w:rFonts w:ascii="Arial" w:hAnsi="Arial" w:cs="Arial"/>
          <w:b/>
          <w:color w:val="5064AE"/>
          <w:szCs w:val="21"/>
          <w:shd w:val="clear" w:color="auto" w:fill="FFFFFF"/>
        </w:rPr>
      </w:pPr>
      <w:r>
        <w:rPr>
          <w:rFonts w:ascii="SimSun" w:hAnsi="SimSun" w:hint="eastAsia"/>
          <w:sz w:val="24"/>
        </w:rPr>
        <w:t>23</w:t>
      </w:r>
      <w:r w:rsidR="000A60F8">
        <w:rPr>
          <w:rFonts w:ascii="Arial" w:hAnsi="Arial" w:cs="Arial"/>
          <w:szCs w:val="21"/>
        </w:rPr>
        <w:t>.</w:t>
      </w:r>
      <w:r w:rsidR="000A60F8">
        <w:rPr>
          <w:rFonts w:ascii="Arial" w:hAnsi="Arial" w:cs="Arial"/>
          <w:b/>
          <w:color w:val="5064AE"/>
          <w:szCs w:val="21"/>
          <w:shd w:val="clear" w:color="auto" w:fill="FFFFFF"/>
        </w:rPr>
        <w:t>Epiphyseal abnormalities, trabecular bone loss and articular chondrocyte hypertrophy develop in the long bones of postnatal Ext1-deficient mice</w:t>
      </w:r>
    </w:p>
    <w:p w:rsidR="000A60F8" w:rsidRDefault="000A60F8">
      <w:pPr>
        <w:jc w:val="left"/>
        <w:rPr>
          <w:rFonts w:ascii="Arial" w:hAnsi="Arial" w:cs="Arial"/>
          <w:szCs w:val="21"/>
        </w:rPr>
      </w:pPr>
      <w:r>
        <w:rPr>
          <w:rFonts w:ascii="Arial" w:hAnsi="Arial" w:cs="Arial"/>
          <w:b/>
          <w:color w:val="283769"/>
          <w:szCs w:val="21"/>
          <w:shd w:val="clear" w:color="auto" w:fill="FFFFFF"/>
        </w:rPr>
        <w:t>Authors</w:t>
      </w:r>
      <w:r>
        <w:rPr>
          <w:rFonts w:ascii="Arial" w:hAnsi="Arial" w:cs="Arial"/>
          <w:szCs w:val="21"/>
        </w:rPr>
        <w:br/>
      </w:r>
      <w:r>
        <w:rPr>
          <w:rFonts w:ascii="Arial" w:hAnsi="Arial" w:cs="Arial"/>
          <w:color w:val="283769"/>
          <w:szCs w:val="21"/>
          <w:shd w:val="clear" w:color="auto" w:fill="FFFFFF"/>
        </w:rPr>
        <w:t>Federica Sgariglia, Maria Elena Candela, Julianne Huegel, Olena Jacenko, Eiki Koyama, Yu Yamaguchi, Maurizio Pacifici, Motomi Enomoto-Iwamoto</w:t>
      </w:r>
      <w:r>
        <w:rPr>
          <w:rFonts w:ascii="Arial" w:hAnsi="Arial" w:cs="Arial"/>
          <w:szCs w:val="21"/>
        </w:rPr>
        <w:br/>
      </w:r>
      <w:r>
        <w:rPr>
          <w:rFonts w:ascii="Arial" w:hAnsi="Arial" w:cs="Arial"/>
          <w:b/>
          <w:color w:val="283769"/>
          <w:szCs w:val="21"/>
          <w:shd w:val="clear" w:color="auto" w:fill="FFFFFF"/>
        </w:rPr>
        <w:t>Abstract</w:t>
      </w:r>
      <w:r>
        <w:rPr>
          <w:rFonts w:ascii="Arial" w:hAnsi="Arial" w:cs="Arial"/>
          <w:szCs w:val="21"/>
        </w:rPr>
        <w:br/>
      </w:r>
      <w:r>
        <w:rPr>
          <w:rFonts w:ascii="Arial" w:hAnsi="Arial" w:cs="Arial"/>
          <w:color w:val="283769"/>
          <w:szCs w:val="21"/>
          <w:shd w:val="clear" w:color="auto" w:fill="FFFFFF"/>
        </w:rPr>
        <w:t>Long bones are integral components of the limb skeleton. Recent studies have indicated that embryonic long bone development is altered by mutations in Ext genes and consequent heparan sulfate (HS) deficiency, possibly due to changes in activity and distribution of HS-binding/growth plate-associated signaling proteins. Here we asked whether Ext function is continuously required after birth to sustain growth plate function and long bone growth and organization. Compound transgenic Ext1f/f;Col2CreERT mice were injected with tamoxifen at postnatal day 5 (P5) to ablate Ext1 in cartilage and monitored over time. The Ext1-deficient mice exhibited growth retardation already by 2 weeks post-injection, as did their long bones. Mutant growth plates displayed a severe disorganization of chondrocyte columnar organization, a shortened hypertrophic zone with low expression of collagen X and MMP-13, and reduced primary spongiosa accompanied, however, by increased numbers of TRAP-positive osteoclasts at the chondro–osseous border. The mutant epiphyses were abnormal as well. Formation of a secondary ossification center was significantly delayed but interestingly, hypertrophic-like chondrocytes emerged within articular cartilage, similar to those often seen in osteoarthritic joints. Indeed, the cells displayed a large size and round shape, expressed collagen X and MMP-13 and were surrounded by an abundant Perlecan-rich pericellular matrix not seen in control articular chondrocytes. In addition, ectopic cartilaginous outgrowths developed on the lateral side of mutant growth plates over time that resembled exostotic characteristic of children with Hereditary Multiple Exostoses, a syndrome caused by Ext mutations and HS deficiency. In sum, the data do show that Ext1 is continuously required for postnatal growth and organization of long bones as well as their adjacent joints. Ext1 deficiency elicits defects that can occur in human skeletal conditions including trabecular bone loss, osteoarthritis and HME.</w:t>
      </w:r>
      <w:r>
        <w:rPr>
          <w:rFonts w:ascii="Arial" w:hAnsi="Arial" w:cs="Arial"/>
          <w:szCs w:val="21"/>
        </w:rPr>
        <w:br/>
      </w:r>
      <w:r>
        <w:rPr>
          <w:rFonts w:ascii="Arial" w:hAnsi="Arial" w:cs="Arial"/>
          <w:b/>
          <w:color w:val="283769"/>
          <w:szCs w:val="21"/>
          <w:shd w:val="clear" w:color="auto" w:fill="FFFFFF"/>
        </w:rPr>
        <w:t>Link to Article</w:t>
      </w:r>
      <w:r>
        <w:rPr>
          <w:rFonts w:ascii="Arial" w:hAnsi="Arial" w:cs="Arial"/>
          <w:szCs w:val="21"/>
        </w:rPr>
        <w:t xml:space="preserve"> </w:t>
      </w:r>
    </w:p>
    <w:p w:rsidR="000A60F8" w:rsidRDefault="0089244D">
      <w:pPr>
        <w:jc w:val="left"/>
        <w:rPr>
          <w:rFonts w:ascii="Arial" w:hAnsi="Arial" w:cs="Arial" w:hint="eastAsia"/>
          <w:szCs w:val="21"/>
        </w:rPr>
      </w:pPr>
      <w:hyperlink r:id="rId39" w:history="1">
        <w:r w:rsidR="000A60F8">
          <w:rPr>
            <w:rFonts w:ascii="Arial" w:hAnsi="Arial" w:cs="Arial"/>
            <w:color w:val="0000FF"/>
            <w:szCs w:val="21"/>
            <w:u w:val="single"/>
          </w:rPr>
          <w:t>http://www.thebonejournal.com/article/S8756-3282(13)00323-2/abstract</w:t>
        </w:r>
      </w:hyperlink>
      <w:r w:rsidR="000A60F8">
        <w:rPr>
          <w:rFonts w:ascii="Arial" w:hAnsi="Arial" w:cs="Arial"/>
          <w:szCs w:val="21"/>
        </w:rPr>
        <w:t xml:space="preserve"> </w:t>
      </w:r>
    </w:p>
    <w:p w:rsidR="00A52A50" w:rsidRDefault="00A52A50">
      <w:pPr>
        <w:jc w:val="left"/>
        <w:rPr>
          <w:rFonts w:ascii="Arial" w:hAnsi="Arial" w:cs="Arial"/>
          <w:szCs w:val="21"/>
        </w:rPr>
      </w:pPr>
      <w:r>
        <w:rPr>
          <w:rFonts w:ascii="Arial" w:hAnsi="Arial" w:cs="Arial" w:hint="eastAsia"/>
          <w:szCs w:val="21"/>
        </w:rPr>
        <w:t>23.</w:t>
      </w:r>
    </w:p>
    <w:sectPr w:rsidR="00A52A50" w:rsidSect="0089244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82A" w:rsidRDefault="0028582A" w:rsidP="00E5375E">
      <w:r>
        <w:separator/>
      </w:r>
    </w:p>
  </w:endnote>
  <w:endnote w:type="continuationSeparator" w:id="1">
    <w:p w:rsidR="0028582A" w:rsidRDefault="0028582A" w:rsidP="00E537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华康瘦金体W3(P)">
    <w:altName w:val="Arial Unicode MS"/>
    <w:charset w:val="86"/>
    <w:family w:val="auto"/>
    <w:pitch w:val="default"/>
    <w:sig w:usb0="00000000" w:usb1="08010000" w:usb2="00000012"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82A" w:rsidRDefault="0028582A" w:rsidP="00E5375E">
      <w:r>
        <w:separator/>
      </w:r>
    </w:p>
  </w:footnote>
  <w:footnote w:type="continuationSeparator" w:id="1">
    <w:p w:rsidR="0028582A" w:rsidRDefault="0028582A" w:rsidP="00E537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74842"/>
    <w:multiLevelType w:val="multilevel"/>
    <w:tmpl w:val="A23E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DF8C5"/>
    <w:multiLevelType w:val="singleLevel"/>
    <w:tmpl w:val="526DF8C5"/>
    <w:lvl w:ilvl="0">
      <w:start w:val="1"/>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A0DC7"/>
    <w:rsid w:val="000A60F8"/>
    <w:rsid w:val="00157F1B"/>
    <w:rsid w:val="00172A27"/>
    <w:rsid w:val="0028582A"/>
    <w:rsid w:val="003762E0"/>
    <w:rsid w:val="00737873"/>
    <w:rsid w:val="00795B44"/>
    <w:rsid w:val="0089244D"/>
    <w:rsid w:val="008D0638"/>
    <w:rsid w:val="00A52A50"/>
    <w:rsid w:val="00BB59E6"/>
    <w:rsid w:val="00D028BE"/>
    <w:rsid w:val="00DF5F0E"/>
    <w:rsid w:val="00E50A7A"/>
    <w:rsid w:val="00E5375E"/>
    <w:rsid w:val="00FF22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244D"/>
    <w:pPr>
      <w:widowControl w:val="0"/>
      <w:jc w:val="both"/>
    </w:pPr>
    <w:rPr>
      <w:kern w:val="2"/>
      <w:sz w:val="21"/>
    </w:rPr>
  </w:style>
  <w:style w:type="paragraph" w:styleId="1">
    <w:name w:val="heading 1"/>
    <w:basedOn w:val="a"/>
    <w:link w:val="1Char"/>
    <w:uiPriority w:val="9"/>
    <w:qFormat/>
    <w:rsid w:val="00D028BE"/>
    <w:pPr>
      <w:widowControl/>
      <w:spacing w:before="100" w:beforeAutospacing="1" w:after="100" w:afterAutospacing="1"/>
      <w:jc w:val="left"/>
      <w:outlineLvl w:val="0"/>
    </w:pPr>
    <w:rPr>
      <w:rFonts w:eastAsia="Times New Roman"/>
      <w:b/>
      <w:bCs/>
      <w:kern w:val="36"/>
      <w:sz w:val="48"/>
      <w:szCs w:val="48"/>
    </w:rPr>
  </w:style>
  <w:style w:type="paragraph" w:styleId="2">
    <w:name w:val="heading 2"/>
    <w:basedOn w:val="a"/>
    <w:link w:val="2Char"/>
    <w:uiPriority w:val="9"/>
    <w:qFormat/>
    <w:rsid w:val="00D028BE"/>
    <w:pPr>
      <w:widowControl/>
      <w:spacing w:before="100" w:beforeAutospacing="1" w:after="100" w:afterAutospacing="1"/>
      <w:jc w:val="left"/>
      <w:outlineLvl w:val="1"/>
    </w:pPr>
    <w:rPr>
      <w:rFonts w:eastAsia="Times New Roman"/>
      <w:b/>
      <w:bCs/>
      <w:kern w:val="0"/>
      <w:sz w:val="36"/>
      <w:szCs w:val="36"/>
    </w:rPr>
  </w:style>
  <w:style w:type="paragraph" w:styleId="3">
    <w:name w:val="heading 3"/>
    <w:basedOn w:val="a"/>
    <w:link w:val="3Char"/>
    <w:uiPriority w:val="9"/>
    <w:qFormat/>
    <w:rsid w:val="00D028BE"/>
    <w:pPr>
      <w:widowControl/>
      <w:spacing w:before="100" w:beforeAutospacing="1" w:after="100" w:afterAutospacing="1"/>
      <w:jc w:val="left"/>
      <w:outlineLvl w:val="2"/>
    </w:pPr>
    <w:rPr>
      <w:rFonts w:eastAsia="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89244D"/>
    <w:rPr>
      <w:color w:val="800080"/>
      <w:u w:val="single"/>
    </w:rPr>
  </w:style>
  <w:style w:type="paragraph" w:styleId="a4">
    <w:name w:val="header"/>
    <w:basedOn w:val="a"/>
    <w:rsid w:val="0089244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89244D"/>
    <w:pPr>
      <w:tabs>
        <w:tab w:val="center" w:pos="4153"/>
        <w:tab w:val="right" w:pos="8306"/>
      </w:tabs>
      <w:snapToGrid w:val="0"/>
      <w:jc w:val="left"/>
    </w:pPr>
    <w:rPr>
      <w:sz w:val="18"/>
    </w:rPr>
  </w:style>
  <w:style w:type="character" w:customStyle="1" w:styleId="timestamp2">
    <w:name w:val="timestamp2"/>
    <w:basedOn w:val="a0"/>
    <w:rsid w:val="00BB59E6"/>
    <w:rPr>
      <w:color w:val="666666"/>
      <w:sz w:val="17"/>
      <w:szCs w:val="17"/>
    </w:rPr>
  </w:style>
  <w:style w:type="character" w:customStyle="1" w:styleId="1Char">
    <w:name w:val="标题 1 Char"/>
    <w:basedOn w:val="a0"/>
    <w:link w:val="1"/>
    <w:uiPriority w:val="9"/>
    <w:rsid w:val="00D028BE"/>
    <w:rPr>
      <w:rFonts w:eastAsia="Times New Roman"/>
      <w:b/>
      <w:bCs/>
      <w:kern w:val="36"/>
      <w:sz w:val="48"/>
      <w:szCs w:val="48"/>
    </w:rPr>
  </w:style>
  <w:style w:type="character" w:customStyle="1" w:styleId="2Char">
    <w:name w:val="标题 2 Char"/>
    <w:basedOn w:val="a0"/>
    <w:link w:val="2"/>
    <w:uiPriority w:val="9"/>
    <w:rsid w:val="00D028BE"/>
    <w:rPr>
      <w:rFonts w:eastAsia="Times New Roman"/>
      <w:b/>
      <w:bCs/>
      <w:sz w:val="36"/>
      <w:szCs w:val="36"/>
    </w:rPr>
  </w:style>
  <w:style w:type="character" w:customStyle="1" w:styleId="3Char">
    <w:name w:val="标题 3 Char"/>
    <w:basedOn w:val="a0"/>
    <w:link w:val="3"/>
    <w:uiPriority w:val="9"/>
    <w:rsid w:val="00D028BE"/>
    <w:rPr>
      <w:rFonts w:eastAsia="Times New Roman"/>
      <w:b/>
      <w:bCs/>
      <w:sz w:val="27"/>
      <w:szCs w:val="27"/>
    </w:rPr>
  </w:style>
  <w:style w:type="character" w:styleId="a6">
    <w:name w:val="Hyperlink"/>
    <w:basedOn w:val="a0"/>
    <w:uiPriority w:val="99"/>
    <w:unhideWhenUsed/>
    <w:rsid w:val="00D028BE"/>
    <w:rPr>
      <w:color w:val="0000FF"/>
      <w:u w:val="single"/>
    </w:rPr>
  </w:style>
  <w:style w:type="character" w:customStyle="1" w:styleId="more-authors">
    <w:name w:val="more-authors"/>
    <w:basedOn w:val="a0"/>
    <w:rsid w:val="00D028BE"/>
  </w:style>
  <w:style w:type="character" w:customStyle="1" w:styleId="show-all-authors">
    <w:name w:val="show-all-authors"/>
    <w:basedOn w:val="a0"/>
    <w:rsid w:val="00D028BE"/>
  </w:style>
  <w:style w:type="character" w:customStyle="1" w:styleId="hide-authors">
    <w:name w:val="hide-authors"/>
    <w:basedOn w:val="a0"/>
    <w:rsid w:val="00D028BE"/>
  </w:style>
  <w:style w:type="character" w:customStyle="1" w:styleId="abstract-numbersdownloads">
    <w:name w:val="abstract-numbers__downloads"/>
    <w:basedOn w:val="a0"/>
    <w:rsid w:val="00D028BE"/>
  </w:style>
  <w:style w:type="character" w:customStyle="1" w:styleId="value">
    <w:name w:val="value"/>
    <w:basedOn w:val="a0"/>
    <w:rsid w:val="00D028BE"/>
  </w:style>
  <w:style w:type="character" w:customStyle="1" w:styleId="abstract-numberscitations">
    <w:name w:val="abstract-numbers__citations"/>
    <w:basedOn w:val="a0"/>
    <w:rsid w:val="00D028BE"/>
  </w:style>
  <w:style w:type="character" w:customStyle="1" w:styleId="abstract-numberscomments">
    <w:name w:val="abstract-numbers__comments"/>
    <w:basedOn w:val="a0"/>
    <w:rsid w:val="00D028BE"/>
  </w:style>
  <w:style w:type="paragraph" w:customStyle="1" w:styleId="content-prices">
    <w:name w:val="content-prices"/>
    <w:basedOn w:val="a"/>
    <w:rsid w:val="00D028BE"/>
    <w:pPr>
      <w:widowControl/>
      <w:spacing w:before="100" w:beforeAutospacing="1" w:after="100" w:afterAutospacing="1"/>
      <w:jc w:val="left"/>
    </w:pPr>
    <w:rPr>
      <w:rFonts w:eastAsia="Times New Roman"/>
      <w:kern w:val="0"/>
      <w:sz w:val="24"/>
      <w:szCs w:val="24"/>
    </w:rPr>
  </w:style>
  <w:style w:type="paragraph" w:styleId="z-">
    <w:name w:val="HTML Top of Form"/>
    <w:basedOn w:val="a"/>
    <w:next w:val="a"/>
    <w:link w:val="z-Char"/>
    <w:hidden/>
    <w:uiPriority w:val="99"/>
    <w:semiHidden/>
    <w:unhideWhenUsed/>
    <w:rsid w:val="00D028BE"/>
    <w:pPr>
      <w:widowControl/>
      <w:pBdr>
        <w:bottom w:val="single" w:sz="6" w:space="1" w:color="auto"/>
      </w:pBdr>
      <w:jc w:val="center"/>
    </w:pPr>
    <w:rPr>
      <w:rFonts w:ascii="Arial" w:eastAsia="Times New Roman" w:hAnsi="Arial" w:cs="Arial"/>
      <w:vanish/>
      <w:kern w:val="0"/>
      <w:sz w:val="16"/>
      <w:szCs w:val="16"/>
    </w:rPr>
  </w:style>
  <w:style w:type="character" w:customStyle="1" w:styleId="z-Char">
    <w:name w:val="z-窗体顶端 Char"/>
    <w:basedOn w:val="a0"/>
    <w:link w:val="z-"/>
    <w:uiPriority w:val="99"/>
    <w:semiHidden/>
    <w:rsid w:val="00D028BE"/>
    <w:rPr>
      <w:rFonts w:ascii="Arial" w:eastAsia="Times New Roman" w:hAnsi="Arial" w:cs="Arial"/>
      <w:vanish/>
      <w:sz w:val="16"/>
      <w:szCs w:val="16"/>
    </w:rPr>
  </w:style>
  <w:style w:type="paragraph" w:styleId="z-0">
    <w:name w:val="HTML Bottom of Form"/>
    <w:basedOn w:val="a"/>
    <w:next w:val="a"/>
    <w:link w:val="z-Char0"/>
    <w:hidden/>
    <w:uiPriority w:val="99"/>
    <w:semiHidden/>
    <w:unhideWhenUsed/>
    <w:rsid w:val="00D028BE"/>
    <w:pPr>
      <w:widowControl/>
      <w:pBdr>
        <w:top w:val="single" w:sz="6" w:space="1" w:color="auto"/>
      </w:pBdr>
      <w:jc w:val="center"/>
    </w:pPr>
    <w:rPr>
      <w:rFonts w:ascii="Arial" w:eastAsia="Times New Roman" w:hAnsi="Arial" w:cs="Arial"/>
      <w:vanish/>
      <w:kern w:val="0"/>
      <w:sz w:val="16"/>
      <w:szCs w:val="16"/>
    </w:rPr>
  </w:style>
  <w:style w:type="character" w:customStyle="1" w:styleId="z-Char0">
    <w:name w:val="z-窗体底端 Char"/>
    <w:basedOn w:val="a0"/>
    <w:link w:val="z-0"/>
    <w:uiPriority w:val="99"/>
    <w:semiHidden/>
    <w:rsid w:val="00D028BE"/>
    <w:rPr>
      <w:rFonts w:ascii="Arial" w:eastAsia="Times New Roman" w:hAnsi="Arial" w:cs="Arial"/>
      <w:vanish/>
      <w:sz w:val="16"/>
      <w:szCs w:val="16"/>
    </w:rPr>
  </w:style>
  <w:style w:type="paragraph" w:customStyle="1" w:styleId="deepdyve-text">
    <w:name w:val="deepdyve-text"/>
    <w:basedOn w:val="a"/>
    <w:rsid w:val="00D028BE"/>
    <w:pPr>
      <w:widowControl/>
      <w:spacing w:before="100" w:beforeAutospacing="1" w:after="100" w:afterAutospacing="1"/>
      <w:jc w:val="left"/>
    </w:pPr>
    <w:rPr>
      <w:rFonts w:eastAsia="Times New Roman"/>
      <w:kern w:val="0"/>
      <w:sz w:val="24"/>
      <w:szCs w:val="24"/>
    </w:rPr>
  </w:style>
  <w:style w:type="paragraph" w:customStyle="1" w:styleId="price-disclaimer">
    <w:name w:val="price-disclaimer"/>
    <w:basedOn w:val="a"/>
    <w:rsid w:val="00D028BE"/>
    <w:pPr>
      <w:widowControl/>
      <w:spacing w:before="100" w:beforeAutospacing="1" w:after="100" w:afterAutospacing="1"/>
      <w:jc w:val="left"/>
    </w:pPr>
    <w:rPr>
      <w:rFonts w:eastAsia="Times New Roman"/>
      <w:kern w:val="0"/>
      <w:sz w:val="24"/>
      <w:szCs w:val="24"/>
    </w:rPr>
  </w:style>
  <w:style w:type="character" w:customStyle="1" w:styleId="action">
    <w:name w:val="action"/>
    <w:basedOn w:val="a0"/>
    <w:rsid w:val="00D028BE"/>
  </w:style>
  <w:style w:type="paragraph" w:customStyle="1" w:styleId="a-plus-plus">
    <w:name w:val="a-plus-plus"/>
    <w:basedOn w:val="a"/>
    <w:rsid w:val="00D028BE"/>
    <w:pPr>
      <w:widowControl/>
      <w:spacing w:before="100" w:beforeAutospacing="1" w:after="100" w:afterAutospacing="1"/>
      <w:jc w:val="left"/>
    </w:pPr>
    <w:rPr>
      <w:rFonts w:eastAsia="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200750041">
      <w:bodyDiv w:val="1"/>
      <w:marLeft w:val="0"/>
      <w:marRight w:val="0"/>
      <w:marTop w:val="0"/>
      <w:marBottom w:val="0"/>
      <w:divBdr>
        <w:top w:val="none" w:sz="0" w:space="0" w:color="auto"/>
        <w:left w:val="none" w:sz="0" w:space="0" w:color="auto"/>
        <w:bottom w:val="none" w:sz="0" w:space="0" w:color="auto"/>
        <w:right w:val="none" w:sz="0" w:space="0" w:color="auto"/>
      </w:divBdr>
      <w:divsChild>
        <w:div w:id="1383482850">
          <w:marLeft w:val="0"/>
          <w:marRight w:val="0"/>
          <w:marTop w:val="0"/>
          <w:marBottom w:val="0"/>
          <w:divBdr>
            <w:top w:val="none" w:sz="0" w:space="0" w:color="auto"/>
            <w:left w:val="none" w:sz="0" w:space="0" w:color="auto"/>
            <w:bottom w:val="none" w:sz="0" w:space="0" w:color="auto"/>
            <w:right w:val="none" w:sz="0" w:space="0" w:color="auto"/>
          </w:divBdr>
          <w:divsChild>
            <w:div w:id="1560818797">
              <w:marLeft w:val="0"/>
              <w:marRight w:val="0"/>
              <w:marTop w:val="0"/>
              <w:marBottom w:val="0"/>
              <w:divBdr>
                <w:top w:val="none" w:sz="0" w:space="0" w:color="auto"/>
                <w:left w:val="none" w:sz="0" w:space="0" w:color="auto"/>
                <w:bottom w:val="none" w:sz="0" w:space="0" w:color="auto"/>
                <w:right w:val="none" w:sz="0" w:space="0" w:color="auto"/>
              </w:divBdr>
              <w:divsChild>
                <w:div w:id="345448653">
                  <w:marLeft w:val="0"/>
                  <w:marRight w:val="0"/>
                  <w:marTop w:val="0"/>
                  <w:marBottom w:val="0"/>
                  <w:divBdr>
                    <w:top w:val="none" w:sz="0" w:space="0" w:color="auto"/>
                    <w:left w:val="none" w:sz="0" w:space="0" w:color="auto"/>
                    <w:bottom w:val="none" w:sz="0" w:space="0" w:color="auto"/>
                    <w:right w:val="none" w:sz="0" w:space="0" w:color="auto"/>
                  </w:divBdr>
                  <w:divsChild>
                    <w:div w:id="464080532">
                      <w:marLeft w:val="0"/>
                      <w:marRight w:val="0"/>
                      <w:marTop w:val="0"/>
                      <w:marBottom w:val="0"/>
                      <w:divBdr>
                        <w:top w:val="none" w:sz="0" w:space="0" w:color="auto"/>
                        <w:left w:val="none" w:sz="0" w:space="0" w:color="auto"/>
                        <w:bottom w:val="none" w:sz="0" w:space="0" w:color="auto"/>
                        <w:right w:val="none" w:sz="0" w:space="0" w:color="auto"/>
                      </w:divBdr>
                      <w:divsChild>
                        <w:div w:id="613171298">
                          <w:marLeft w:val="0"/>
                          <w:marRight w:val="0"/>
                          <w:marTop w:val="0"/>
                          <w:marBottom w:val="0"/>
                          <w:divBdr>
                            <w:top w:val="none" w:sz="0" w:space="0" w:color="auto"/>
                            <w:left w:val="none" w:sz="0" w:space="0" w:color="auto"/>
                            <w:bottom w:val="none" w:sz="0" w:space="0" w:color="auto"/>
                            <w:right w:val="none" w:sz="0" w:space="0" w:color="auto"/>
                          </w:divBdr>
                          <w:divsChild>
                            <w:div w:id="1592665042">
                              <w:marLeft w:val="0"/>
                              <w:marRight w:val="0"/>
                              <w:marTop w:val="0"/>
                              <w:marBottom w:val="0"/>
                              <w:divBdr>
                                <w:top w:val="none" w:sz="0" w:space="0" w:color="auto"/>
                                <w:left w:val="none" w:sz="0" w:space="0" w:color="auto"/>
                                <w:bottom w:val="none" w:sz="0" w:space="0" w:color="auto"/>
                                <w:right w:val="none" w:sz="0" w:space="0" w:color="auto"/>
                              </w:divBdr>
                            </w:div>
                            <w:div w:id="864293372">
                              <w:marLeft w:val="0"/>
                              <w:marRight w:val="0"/>
                              <w:marTop w:val="0"/>
                              <w:marBottom w:val="0"/>
                              <w:divBdr>
                                <w:top w:val="none" w:sz="0" w:space="0" w:color="auto"/>
                                <w:left w:val="none" w:sz="0" w:space="0" w:color="auto"/>
                                <w:bottom w:val="none" w:sz="0" w:space="0" w:color="auto"/>
                                <w:right w:val="none" w:sz="0" w:space="0" w:color="auto"/>
                              </w:divBdr>
                            </w:div>
                            <w:div w:id="423456413">
                              <w:marLeft w:val="0"/>
                              <w:marRight w:val="0"/>
                              <w:marTop w:val="0"/>
                              <w:marBottom w:val="0"/>
                              <w:divBdr>
                                <w:top w:val="none" w:sz="0" w:space="0" w:color="auto"/>
                                <w:left w:val="none" w:sz="0" w:space="0" w:color="auto"/>
                                <w:bottom w:val="none" w:sz="0" w:space="0" w:color="auto"/>
                                <w:right w:val="none" w:sz="0" w:space="0" w:color="auto"/>
                              </w:divBdr>
                              <w:divsChild>
                                <w:div w:id="232744321">
                                  <w:marLeft w:val="0"/>
                                  <w:marRight w:val="0"/>
                                  <w:marTop w:val="0"/>
                                  <w:marBottom w:val="0"/>
                                  <w:divBdr>
                                    <w:top w:val="none" w:sz="0" w:space="0" w:color="auto"/>
                                    <w:left w:val="none" w:sz="0" w:space="0" w:color="auto"/>
                                    <w:bottom w:val="none" w:sz="0" w:space="0" w:color="auto"/>
                                    <w:right w:val="none" w:sz="0" w:space="0" w:color="auto"/>
                                  </w:divBdr>
                                  <w:divsChild>
                                    <w:div w:id="7144995">
                                      <w:marLeft w:val="0"/>
                                      <w:marRight w:val="0"/>
                                      <w:marTop w:val="0"/>
                                      <w:marBottom w:val="0"/>
                                      <w:divBdr>
                                        <w:top w:val="none" w:sz="0" w:space="0" w:color="auto"/>
                                        <w:left w:val="none" w:sz="0" w:space="0" w:color="auto"/>
                                        <w:bottom w:val="none" w:sz="0" w:space="0" w:color="auto"/>
                                        <w:right w:val="none" w:sz="0" w:space="0" w:color="auto"/>
                                      </w:divBdr>
                                      <w:divsChild>
                                        <w:div w:id="2055496401">
                                          <w:marLeft w:val="0"/>
                                          <w:marRight w:val="0"/>
                                          <w:marTop w:val="0"/>
                                          <w:marBottom w:val="0"/>
                                          <w:divBdr>
                                            <w:top w:val="none" w:sz="0" w:space="0" w:color="auto"/>
                                            <w:left w:val="none" w:sz="0" w:space="0" w:color="auto"/>
                                            <w:bottom w:val="none" w:sz="0" w:space="0" w:color="auto"/>
                                            <w:right w:val="none" w:sz="0" w:space="0" w:color="auto"/>
                                          </w:divBdr>
                                        </w:div>
                                      </w:divsChild>
                                    </w:div>
                                    <w:div w:id="17244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0359">
      <w:bodyDiv w:val="1"/>
      <w:marLeft w:val="0"/>
      <w:marRight w:val="0"/>
      <w:marTop w:val="0"/>
      <w:marBottom w:val="0"/>
      <w:divBdr>
        <w:top w:val="none" w:sz="0" w:space="0" w:color="auto"/>
        <w:left w:val="none" w:sz="0" w:space="0" w:color="auto"/>
        <w:bottom w:val="none" w:sz="0" w:space="0" w:color="auto"/>
        <w:right w:val="none" w:sz="0" w:space="0" w:color="auto"/>
      </w:divBdr>
      <w:divsChild>
        <w:div w:id="1203057331">
          <w:marLeft w:val="0"/>
          <w:marRight w:val="0"/>
          <w:marTop w:val="0"/>
          <w:marBottom w:val="0"/>
          <w:divBdr>
            <w:top w:val="none" w:sz="0" w:space="0" w:color="auto"/>
            <w:left w:val="none" w:sz="0" w:space="0" w:color="auto"/>
            <w:bottom w:val="none" w:sz="0" w:space="0" w:color="auto"/>
            <w:right w:val="none" w:sz="0" w:space="0" w:color="auto"/>
          </w:divBdr>
          <w:divsChild>
            <w:div w:id="222644498">
              <w:marLeft w:val="0"/>
              <w:marRight w:val="0"/>
              <w:marTop w:val="0"/>
              <w:marBottom w:val="0"/>
              <w:divBdr>
                <w:top w:val="none" w:sz="0" w:space="0" w:color="auto"/>
                <w:left w:val="none" w:sz="0" w:space="0" w:color="auto"/>
                <w:bottom w:val="none" w:sz="0" w:space="0" w:color="auto"/>
                <w:right w:val="none" w:sz="0" w:space="0" w:color="auto"/>
              </w:divBdr>
              <w:divsChild>
                <w:div w:id="782269449">
                  <w:marLeft w:val="0"/>
                  <w:marRight w:val="0"/>
                  <w:marTop w:val="100"/>
                  <w:marBottom w:val="100"/>
                  <w:divBdr>
                    <w:top w:val="none" w:sz="0" w:space="0" w:color="auto"/>
                    <w:left w:val="none" w:sz="0" w:space="0" w:color="auto"/>
                    <w:bottom w:val="none" w:sz="0" w:space="0" w:color="auto"/>
                    <w:right w:val="none" w:sz="0" w:space="0" w:color="auto"/>
                  </w:divBdr>
                  <w:divsChild>
                    <w:div w:id="838471098">
                      <w:marLeft w:val="0"/>
                      <w:marRight w:val="0"/>
                      <w:marTop w:val="0"/>
                      <w:marBottom w:val="0"/>
                      <w:divBdr>
                        <w:top w:val="none" w:sz="0" w:space="0" w:color="auto"/>
                        <w:left w:val="none" w:sz="0" w:space="0" w:color="auto"/>
                        <w:bottom w:val="none" w:sz="0" w:space="0" w:color="auto"/>
                        <w:right w:val="none" w:sz="0" w:space="0" w:color="auto"/>
                      </w:divBdr>
                      <w:divsChild>
                        <w:div w:id="1380089309">
                          <w:marLeft w:val="0"/>
                          <w:marRight w:val="0"/>
                          <w:marTop w:val="0"/>
                          <w:marBottom w:val="0"/>
                          <w:divBdr>
                            <w:top w:val="none" w:sz="0" w:space="0" w:color="auto"/>
                            <w:left w:val="none" w:sz="0" w:space="0" w:color="auto"/>
                            <w:bottom w:val="none" w:sz="0" w:space="0" w:color="auto"/>
                            <w:right w:val="none" w:sz="0" w:space="0" w:color="auto"/>
                          </w:divBdr>
                          <w:divsChild>
                            <w:div w:id="1888760858">
                              <w:marLeft w:val="0"/>
                              <w:marRight w:val="0"/>
                              <w:marTop w:val="0"/>
                              <w:marBottom w:val="0"/>
                              <w:divBdr>
                                <w:top w:val="none" w:sz="0" w:space="0" w:color="auto"/>
                                <w:left w:val="none" w:sz="0" w:space="0" w:color="auto"/>
                                <w:bottom w:val="none" w:sz="0" w:space="0" w:color="auto"/>
                                <w:right w:val="none" w:sz="0" w:space="0" w:color="auto"/>
                              </w:divBdr>
                              <w:divsChild>
                                <w:div w:id="1171333732">
                                  <w:marLeft w:val="0"/>
                                  <w:marRight w:val="0"/>
                                  <w:marTop w:val="0"/>
                                  <w:marBottom w:val="0"/>
                                  <w:divBdr>
                                    <w:top w:val="none" w:sz="0" w:space="0" w:color="auto"/>
                                    <w:left w:val="none" w:sz="0" w:space="0" w:color="auto"/>
                                    <w:bottom w:val="none" w:sz="0" w:space="0" w:color="auto"/>
                                    <w:right w:val="none" w:sz="0" w:space="0" w:color="auto"/>
                                  </w:divBdr>
                                  <w:divsChild>
                                    <w:div w:id="1800801242">
                                      <w:marLeft w:val="0"/>
                                      <w:marRight w:val="0"/>
                                      <w:marTop w:val="0"/>
                                      <w:marBottom w:val="0"/>
                                      <w:divBdr>
                                        <w:top w:val="none" w:sz="0" w:space="0" w:color="auto"/>
                                        <w:left w:val="none" w:sz="0" w:space="0" w:color="auto"/>
                                        <w:bottom w:val="none" w:sz="0" w:space="0" w:color="auto"/>
                                        <w:right w:val="none" w:sz="0" w:space="0" w:color="auto"/>
                                      </w:divBdr>
                                      <w:divsChild>
                                        <w:div w:id="647394792">
                                          <w:marLeft w:val="150"/>
                                          <w:marRight w:val="150"/>
                                          <w:marTop w:val="0"/>
                                          <w:marBottom w:val="0"/>
                                          <w:divBdr>
                                            <w:top w:val="none" w:sz="0" w:space="0" w:color="auto"/>
                                            <w:left w:val="none" w:sz="0" w:space="0" w:color="auto"/>
                                            <w:bottom w:val="none" w:sz="0" w:space="0" w:color="auto"/>
                                            <w:right w:val="none" w:sz="0" w:space="0" w:color="auto"/>
                                          </w:divBdr>
                                          <w:divsChild>
                                            <w:div w:id="1123188072">
                                              <w:marLeft w:val="0"/>
                                              <w:marRight w:val="0"/>
                                              <w:marTop w:val="150"/>
                                              <w:marBottom w:val="150"/>
                                              <w:divBdr>
                                                <w:top w:val="none" w:sz="0" w:space="0" w:color="auto"/>
                                                <w:left w:val="none" w:sz="0" w:space="0" w:color="auto"/>
                                                <w:bottom w:val="single" w:sz="6" w:space="4" w:color="C7C7C7"/>
                                                <w:right w:val="none" w:sz="0" w:space="0" w:color="auto"/>
                                              </w:divBdr>
                                              <w:divsChild>
                                                <w:div w:id="2829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700528">
      <w:bodyDiv w:val="1"/>
      <w:marLeft w:val="0"/>
      <w:marRight w:val="0"/>
      <w:marTop w:val="0"/>
      <w:marBottom w:val="0"/>
      <w:divBdr>
        <w:top w:val="none" w:sz="0" w:space="0" w:color="auto"/>
        <w:left w:val="none" w:sz="0" w:space="0" w:color="auto"/>
        <w:bottom w:val="none" w:sz="0" w:space="0" w:color="auto"/>
        <w:right w:val="none" w:sz="0" w:space="0" w:color="auto"/>
      </w:divBdr>
      <w:divsChild>
        <w:div w:id="1928882975">
          <w:marLeft w:val="0"/>
          <w:marRight w:val="0"/>
          <w:marTop w:val="0"/>
          <w:marBottom w:val="0"/>
          <w:divBdr>
            <w:top w:val="none" w:sz="0" w:space="0" w:color="auto"/>
            <w:left w:val="none" w:sz="0" w:space="0" w:color="auto"/>
            <w:bottom w:val="none" w:sz="0" w:space="0" w:color="auto"/>
            <w:right w:val="none" w:sz="0" w:space="0" w:color="auto"/>
          </w:divBdr>
          <w:divsChild>
            <w:div w:id="1175270680">
              <w:marLeft w:val="0"/>
              <w:marRight w:val="0"/>
              <w:marTop w:val="0"/>
              <w:marBottom w:val="0"/>
              <w:divBdr>
                <w:top w:val="none" w:sz="0" w:space="0" w:color="auto"/>
                <w:left w:val="none" w:sz="0" w:space="0" w:color="auto"/>
                <w:bottom w:val="none" w:sz="0" w:space="0" w:color="auto"/>
                <w:right w:val="none" w:sz="0" w:space="0" w:color="auto"/>
              </w:divBdr>
              <w:divsChild>
                <w:div w:id="272902022">
                  <w:marLeft w:val="0"/>
                  <w:marRight w:val="0"/>
                  <w:marTop w:val="100"/>
                  <w:marBottom w:val="100"/>
                  <w:divBdr>
                    <w:top w:val="none" w:sz="0" w:space="0" w:color="auto"/>
                    <w:left w:val="none" w:sz="0" w:space="0" w:color="auto"/>
                    <w:bottom w:val="none" w:sz="0" w:space="0" w:color="auto"/>
                    <w:right w:val="none" w:sz="0" w:space="0" w:color="auto"/>
                  </w:divBdr>
                  <w:divsChild>
                    <w:div w:id="1952128196">
                      <w:marLeft w:val="0"/>
                      <w:marRight w:val="0"/>
                      <w:marTop w:val="0"/>
                      <w:marBottom w:val="0"/>
                      <w:divBdr>
                        <w:top w:val="none" w:sz="0" w:space="0" w:color="auto"/>
                        <w:left w:val="none" w:sz="0" w:space="0" w:color="auto"/>
                        <w:bottom w:val="none" w:sz="0" w:space="0" w:color="auto"/>
                        <w:right w:val="none" w:sz="0" w:space="0" w:color="auto"/>
                      </w:divBdr>
                      <w:divsChild>
                        <w:div w:id="45493231">
                          <w:marLeft w:val="0"/>
                          <w:marRight w:val="0"/>
                          <w:marTop w:val="0"/>
                          <w:marBottom w:val="0"/>
                          <w:divBdr>
                            <w:top w:val="none" w:sz="0" w:space="0" w:color="auto"/>
                            <w:left w:val="none" w:sz="0" w:space="0" w:color="auto"/>
                            <w:bottom w:val="none" w:sz="0" w:space="0" w:color="auto"/>
                            <w:right w:val="none" w:sz="0" w:space="0" w:color="auto"/>
                          </w:divBdr>
                          <w:divsChild>
                            <w:div w:id="1745489908">
                              <w:marLeft w:val="0"/>
                              <w:marRight w:val="0"/>
                              <w:marTop w:val="0"/>
                              <w:marBottom w:val="0"/>
                              <w:divBdr>
                                <w:top w:val="none" w:sz="0" w:space="0" w:color="auto"/>
                                <w:left w:val="none" w:sz="0" w:space="0" w:color="auto"/>
                                <w:bottom w:val="none" w:sz="0" w:space="0" w:color="auto"/>
                                <w:right w:val="none" w:sz="0" w:space="0" w:color="auto"/>
                              </w:divBdr>
                              <w:divsChild>
                                <w:div w:id="821115704">
                                  <w:marLeft w:val="0"/>
                                  <w:marRight w:val="0"/>
                                  <w:marTop w:val="0"/>
                                  <w:marBottom w:val="0"/>
                                  <w:divBdr>
                                    <w:top w:val="none" w:sz="0" w:space="0" w:color="auto"/>
                                    <w:left w:val="none" w:sz="0" w:space="0" w:color="auto"/>
                                    <w:bottom w:val="none" w:sz="0" w:space="0" w:color="auto"/>
                                    <w:right w:val="none" w:sz="0" w:space="0" w:color="auto"/>
                                  </w:divBdr>
                                  <w:divsChild>
                                    <w:div w:id="71046911">
                                      <w:marLeft w:val="0"/>
                                      <w:marRight w:val="0"/>
                                      <w:marTop w:val="0"/>
                                      <w:marBottom w:val="0"/>
                                      <w:divBdr>
                                        <w:top w:val="none" w:sz="0" w:space="0" w:color="auto"/>
                                        <w:left w:val="none" w:sz="0" w:space="0" w:color="auto"/>
                                        <w:bottom w:val="none" w:sz="0" w:space="0" w:color="auto"/>
                                        <w:right w:val="none" w:sz="0" w:space="0" w:color="auto"/>
                                      </w:divBdr>
                                      <w:divsChild>
                                        <w:div w:id="571936692">
                                          <w:marLeft w:val="150"/>
                                          <w:marRight w:val="150"/>
                                          <w:marTop w:val="0"/>
                                          <w:marBottom w:val="0"/>
                                          <w:divBdr>
                                            <w:top w:val="none" w:sz="0" w:space="0" w:color="auto"/>
                                            <w:left w:val="none" w:sz="0" w:space="0" w:color="auto"/>
                                            <w:bottom w:val="none" w:sz="0" w:space="0" w:color="auto"/>
                                            <w:right w:val="none" w:sz="0" w:space="0" w:color="auto"/>
                                          </w:divBdr>
                                          <w:divsChild>
                                            <w:div w:id="176576432">
                                              <w:marLeft w:val="0"/>
                                              <w:marRight w:val="0"/>
                                              <w:marTop w:val="150"/>
                                              <w:marBottom w:val="150"/>
                                              <w:divBdr>
                                                <w:top w:val="none" w:sz="0" w:space="0" w:color="auto"/>
                                                <w:left w:val="none" w:sz="0" w:space="0" w:color="auto"/>
                                                <w:bottom w:val="single" w:sz="6" w:space="4" w:color="C7C7C7"/>
                                                <w:right w:val="none" w:sz="0" w:space="0" w:color="auto"/>
                                              </w:divBdr>
                                              <w:divsChild>
                                                <w:div w:id="16479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184060">
      <w:bodyDiv w:val="1"/>
      <w:marLeft w:val="0"/>
      <w:marRight w:val="0"/>
      <w:marTop w:val="0"/>
      <w:marBottom w:val="0"/>
      <w:divBdr>
        <w:top w:val="none" w:sz="0" w:space="0" w:color="auto"/>
        <w:left w:val="none" w:sz="0" w:space="0" w:color="auto"/>
        <w:bottom w:val="none" w:sz="0" w:space="0" w:color="auto"/>
        <w:right w:val="none" w:sz="0" w:space="0" w:color="auto"/>
      </w:divBdr>
      <w:divsChild>
        <w:div w:id="469636929">
          <w:marLeft w:val="0"/>
          <w:marRight w:val="0"/>
          <w:marTop w:val="0"/>
          <w:marBottom w:val="0"/>
          <w:divBdr>
            <w:top w:val="none" w:sz="0" w:space="0" w:color="auto"/>
            <w:left w:val="none" w:sz="0" w:space="0" w:color="auto"/>
            <w:bottom w:val="none" w:sz="0" w:space="0" w:color="auto"/>
            <w:right w:val="none" w:sz="0" w:space="0" w:color="auto"/>
          </w:divBdr>
          <w:divsChild>
            <w:div w:id="1666476263">
              <w:marLeft w:val="0"/>
              <w:marRight w:val="0"/>
              <w:marTop w:val="0"/>
              <w:marBottom w:val="0"/>
              <w:divBdr>
                <w:top w:val="none" w:sz="0" w:space="0" w:color="auto"/>
                <w:left w:val="none" w:sz="0" w:space="0" w:color="auto"/>
                <w:bottom w:val="none" w:sz="0" w:space="0" w:color="auto"/>
                <w:right w:val="none" w:sz="0" w:space="0" w:color="auto"/>
              </w:divBdr>
              <w:divsChild>
                <w:div w:id="2009362376">
                  <w:marLeft w:val="0"/>
                  <w:marRight w:val="0"/>
                  <w:marTop w:val="100"/>
                  <w:marBottom w:val="100"/>
                  <w:divBdr>
                    <w:top w:val="none" w:sz="0" w:space="0" w:color="auto"/>
                    <w:left w:val="none" w:sz="0" w:space="0" w:color="auto"/>
                    <w:bottom w:val="none" w:sz="0" w:space="0" w:color="auto"/>
                    <w:right w:val="none" w:sz="0" w:space="0" w:color="auto"/>
                  </w:divBdr>
                  <w:divsChild>
                    <w:div w:id="569732707">
                      <w:marLeft w:val="0"/>
                      <w:marRight w:val="0"/>
                      <w:marTop w:val="0"/>
                      <w:marBottom w:val="0"/>
                      <w:divBdr>
                        <w:top w:val="none" w:sz="0" w:space="0" w:color="auto"/>
                        <w:left w:val="none" w:sz="0" w:space="0" w:color="auto"/>
                        <w:bottom w:val="none" w:sz="0" w:space="0" w:color="auto"/>
                        <w:right w:val="none" w:sz="0" w:space="0" w:color="auto"/>
                      </w:divBdr>
                      <w:divsChild>
                        <w:div w:id="217474289">
                          <w:marLeft w:val="0"/>
                          <w:marRight w:val="0"/>
                          <w:marTop w:val="0"/>
                          <w:marBottom w:val="0"/>
                          <w:divBdr>
                            <w:top w:val="none" w:sz="0" w:space="0" w:color="auto"/>
                            <w:left w:val="none" w:sz="0" w:space="0" w:color="auto"/>
                            <w:bottom w:val="none" w:sz="0" w:space="0" w:color="auto"/>
                            <w:right w:val="none" w:sz="0" w:space="0" w:color="auto"/>
                          </w:divBdr>
                          <w:divsChild>
                            <w:div w:id="942029004">
                              <w:marLeft w:val="0"/>
                              <w:marRight w:val="0"/>
                              <w:marTop w:val="0"/>
                              <w:marBottom w:val="0"/>
                              <w:divBdr>
                                <w:top w:val="none" w:sz="0" w:space="0" w:color="auto"/>
                                <w:left w:val="none" w:sz="0" w:space="0" w:color="auto"/>
                                <w:bottom w:val="none" w:sz="0" w:space="0" w:color="auto"/>
                                <w:right w:val="none" w:sz="0" w:space="0" w:color="auto"/>
                              </w:divBdr>
                              <w:divsChild>
                                <w:div w:id="450168744">
                                  <w:marLeft w:val="0"/>
                                  <w:marRight w:val="0"/>
                                  <w:marTop w:val="0"/>
                                  <w:marBottom w:val="0"/>
                                  <w:divBdr>
                                    <w:top w:val="none" w:sz="0" w:space="0" w:color="auto"/>
                                    <w:left w:val="none" w:sz="0" w:space="0" w:color="auto"/>
                                    <w:bottom w:val="none" w:sz="0" w:space="0" w:color="auto"/>
                                    <w:right w:val="none" w:sz="0" w:space="0" w:color="auto"/>
                                  </w:divBdr>
                                  <w:divsChild>
                                    <w:div w:id="1580480627">
                                      <w:marLeft w:val="0"/>
                                      <w:marRight w:val="0"/>
                                      <w:marTop w:val="0"/>
                                      <w:marBottom w:val="0"/>
                                      <w:divBdr>
                                        <w:top w:val="none" w:sz="0" w:space="0" w:color="auto"/>
                                        <w:left w:val="none" w:sz="0" w:space="0" w:color="auto"/>
                                        <w:bottom w:val="none" w:sz="0" w:space="0" w:color="auto"/>
                                        <w:right w:val="none" w:sz="0" w:space="0" w:color="auto"/>
                                      </w:divBdr>
                                      <w:divsChild>
                                        <w:div w:id="987317902">
                                          <w:marLeft w:val="150"/>
                                          <w:marRight w:val="150"/>
                                          <w:marTop w:val="0"/>
                                          <w:marBottom w:val="0"/>
                                          <w:divBdr>
                                            <w:top w:val="none" w:sz="0" w:space="0" w:color="auto"/>
                                            <w:left w:val="none" w:sz="0" w:space="0" w:color="auto"/>
                                            <w:bottom w:val="none" w:sz="0" w:space="0" w:color="auto"/>
                                            <w:right w:val="none" w:sz="0" w:space="0" w:color="auto"/>
                                          </w:divBdr>
                                          <w:divsChild>
                                            <w:div w:id="613631866">
                                              <w:marLeft w:val="0"/>
                                              <w:marRight w:val="0"/>
                                              <w:marTop w:val="150"/>
                                              <w:marBottom w:val="150"/>
                                              <w:divBdr>
                                                <w:top w:val="none" w:sz="0" w:space="0" w:color="auto"/>
                                                <w:left w:val="none" w:sz="0" w:space="0" w:color="auto"/>
                                                <w:bottom w:val="single" w:sz="6" w:space="4" w:color="C7C7C7"/>
                                                <w:right w:val="none" w:sz="0" w:space="0" w:color="auto"/>
                                              </w:divBdr>
                                              <w:divsChild>
                                                <w:div w:id="1266883470">
                                                  <w:marLeft w:val="0"/>
                                                  <w:marRight w:val="0"/>
                                                  <w:marTop w:val="0"/>
                                                  <w:marBottom w:val="0"/>
                                                  <w:divBdr>
                                                    <w:top w:val="none" w:sz="0" w:space="0" w:color="auto"/>
                                                    <w:left w:val="none" w:sz="0" w:space="0" w:color="auto"/>
                                                    <w:bottom w:val="none" w:sz="0" w:space="0" w:color="auto"/>
                                                    <w:right w:val="none" w:sz="0" w:space="0" w:color="auto"/>
                                                  </w:divBdr>
                                                  <w:divsChild>
                                                    <w:div w:id="927932855">
                                                      <w:marLeft w:val="0"/>
                                                      <w:marRight w:val="0"/>
                                                      <w:marTop w:val="0"/>
                                                      <w:marBottom w:val="0"/>
                                                      <w:divBdr>
                                                        <w:top w:val="none" w:sz="0" w:space="0" w:color="auto"/>
                                                        <w:left w:val="none" w:sz="0" w:space="0" w:color="auto"/>
                                                        <w:bottom w:val="none" w:sz="0" w:space="0" w:color="auto"/>
                                                        <w:right w:val="none" w:sz="0" w:space="0" w:color="auto"/>
                                                      </w:divBdr>
                                                    </w:div>
                                                    <w:div w:id="18181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0964164">
      <w:bodyDiv w:val="1"/>
      <w:marLeft w:val="0"/>
      <w:marRight w:val="0"/>
      <w:marTop w:val="0"/>
      <w:marBottom w:val="0"/>
      <w:divBdr>
        <w:top w:val="none" w:sz="0" w:space="0" w:color="auto"/>
        <w:left w:val="none" w:sz="0" w:space="0" w:color="auto"/>
        <w:bottom w:val="none" w:sz="0" w:space="0" w:color="auto"/>
        <w:right w:val="none" w:sz="0" w:space="0" w:color="auto"/>
      </w:divBdr>
      <w:divsChild>
        <w:div w:id="1582718197">
          <w:marLeft w:val="0"/>
          <w:marRight w:val="0"/>
          <w:marTop w:val="0"/>
          <w:marBottom w:val="0"/>
          <w:divBdr>
            <w:top w:val="none" w:sz="0" w:space="0" w:color="auto"/>
            <w:left w:val="none" w:sz="0" w:space="0" w:color="auto"/>
            <w:bottom w:val="none" w:sz="0" w:space="0" w:color="auto"/>
            <w:right w:val="none" w:sz="0" w:space="0" w:color="auto"/>
          </w:divBdr>
          <w:divsChild>
            <w:div w:id="1302736441">
              <w:marLeft w:val="0"/>
              <w:marRight w:val="0"/>
              <w:marTop w:val="0"/>
              <w:marBottom w:val="0"/>
              <w:divBdr>
                <w:top w:val="none" w:sz="0" w:space="0" w:color="auto"/>
                <w:left w:val="none" w:sz="0" w:space="0" w:color="auto"/>
                <w:bottom w:val="none" w:sz="0" w:space="0" w:color="auto"/>
                <w:right w:val="none" w:sz="0" w:space="0" w:color="auto"/>
              </w:divBdr>
              <w:divsChild>
                <w:div w:id="1419054313">
                  <w:marLeft w:val="0"/>
                  <w:marRight w:val="0"/>
                  <w:marTop w:val="100"/>
                  <w:marBottom w:val="100"/>
                  <w:divBdr>
                    <w:top w:val="none" w:sz="0" w:space="0" w:color="auto"/>
                    <w:left w:val="none" w:sz="0" w:space="0" w:color="auto"/>
                    <w:bottom w:val="none" w:sz="0" w:space="0" w:color="auto"/>
                    <w:right w:val="none" w:sz="0" w:space="0" w:color="auto"/>
                  </w:divBdr>
                  <w:divsChild>
                    <w:div w:id="485054185">
                      <w:marLeft w:val="0"/>
                      <w:marRight w:val="0"/>
                      <w:marTop w:val="0"/>
                      <w:marBottom w:val="0"/>
                      <w:divBdr>
                        <w:top w:val="none" w:sz="0" w:space="0" w:color="auto"/>
                        <w:left w:val="none" w:sz="0" w:space="0" w:color="auto"/>
                        <w:bottom w:val="none" w:sz="0" w:space="0" w:color="auto"/>
                        <w:right w:val="none" w:sz="0" w:space="0" w:color="auto"/>
                      </w:divBdr>
                      <w:divsChild>
                        <w:div w:id="2096851636">
                          <w:marLeft w:val="0"/>
                          <w:marRight w:val="0"/>
                          <w:marTop w:val="0"/>
                          <w:marBottom w:val="0"/>
                          <w:divBdr>
                            <w:top w:val="none" w:sz="0" w:space="0" w:color="auto"/>
                            <w:left w:val="none" w:sz="0" w:space="0" w:color="auto"/>
                            <w:bottom w:val="none" w:sz="0" w:space="0" w:color="auto"/>
                            <w:right w:val="none" w:sz="0" w:space="0" w:color="auto"/>
                          </w:divBdr>
                          <w:divsChild>
                            <w:div w:id="214317277">
                              <w:marLeft w:val="0"/>
                              <w:marRight w:val="0"/>
                              <w:marTop w:val="0"/>
                              <w:marBottom w:val="0"/>
                              <w:divBdr>
                                <w:top w:val="none" w:sz="0" w:space="0" w:color="auto"/>
                                <w:left w:val="none" w:sz="0" w:space="0" w:color="auto"/>
                                <w:bottom w:val="none" w:sz="0" w:space="0" w:color="auto"/>
                                <w:right w:val="none" w:sz="0" w:space="0" w:color="auto"/>
                              </w:divBdr>
                              <w:divsChild>
                                <w:div w:id="802651308">
                                  <w:marLeft w:val="0"/>
                                  <w:marRight w:val="0"/>
                                  <w:marTop w:val="0"/>
                                  <w:marBottom w:val="0"/>
                                  <w:divBdr>
                                    <w:top w:val="none" w:sz="0" w:space="0" w:color="auto"/>
                                    <w:left w:val="none" w:sz="0" w:space="0" w:color="auto"/>
                                    <w:bottom w:val="none" w:sz="0" w:space="0" w:color="auto"/>
                                    <w:right w:val="none" w:sz="0" w:space="0" w:color="auto"/>
                                  </w:divBdr>
                                  <w:divsChild>
                                    <w:div w:id="1104688033">
                                      <w:marLeft w:val="0"/>
                                      <w:marRight w:val="0"/>
                                      <w:marTop w:val="0"/>
                                      <w:marBottom w:val="0"/>
                                      <w:divBdr>
                                        <w:top w:val="none" w:sz="0" w:space="0" w:color="auto"/>
                                        <w:left w:val="none" w:sz="0" w:space="0" w:color="auto"/>
                                        <w:bottom w:val="none" w:sz="0" w:space="0" w:color="auto"/>
                                        <w:right w:val="none" w:sz="0" w:space="0" w:color="auto"/>
                                      </w:divBdr>
                                      <w:divsChild>
                                        <w:div w:id="876351451">
                                          <w:marLeft w:val="150"/>
                                          <w:marRight w:val="150"/>
                                          <w:marTop w:val="0"/>
                                          <w:marBottom w:val="0"/>
                                          <w:divBdr>
                                            <w:top w:val="none" w:sz="0" w:space="0" w:color="auto"/>
                                            <w:left w:val="none" w:sz="0" w:space="0" w:color="auto"/>
                                            <w:bottom w:val="none" w:sz="0" w:space="0" w:color="auto"/>
                                            <w:right w:val="none" w:sz="0" w:space="0" w:color="auto"/>
                                          </w:divBdr>
                                          <w:divsChild>
                                            <w:div w:id="457994256">
                                              <w:marLeft w:val="0"/>
                                              <w:marRight w:val="0"/>
                                              <w:marTop w:val="150"/>
                                              <w:marBottom w:val="150"/>
                                              <w:divBdr>
                                                <w:top w:val="none" w:sz="0" w:space="0" w:color="auto"/>
                                                <w:left w:val="none" w:sz="0" w:space="0" w:color="auto"/>
                                                <w:bottom w:val="single" w:sz="6" w:space="4" w:color="C7C7C7"/>
                                                <w:right w:val="none" w:sz="0" w:space="0" w:color="auto"/>
                                              </w:divBdr>
                                              <w:divsChild>
                                                <w:div w:id="5581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501483">
      <w:bodyDiv w:val="1"/>
      <w:marLeft w:val="0"/>
      <w:marRight w:val="0"/>
      <w:marTop w:val="0"/>
      <w:marBottom w:val="0"/>
      <w:divBdr>
        <w:top w:val="none" w:sz="0" w:space="0" w:color="auto"/>
        <w:left w:val="none" w:sz="0" w:space="0" w:color="auto"/>
        <w:bottom w:val="none" w:sz="0" w:space="0" w:color="auto"/>
        <w:right w:val="none" w:sz="0" w:space="0" w:color="auto"/>
      </w:divBdr>
      <w:divsChild>
        <w:div w:id="647246690">
          <w:marLeft w:val="0"/>
          <w:marRight w:val="0"/>
          <w:marTop w:val="0"/>
          <w:marBottom w:val="0"/>
          <w:divBdr>
            <w:top w:val="none" w:sz="0" w:space="0" w:color="auto"/>
            <w:left w:val="none" w:sz="0" w:space="0" w:color="auto"/>
            <w:bottom w:val="none" w:sz="0" w:space="0" w:color="auto"/>
            <w:right w:val="none" w:sz="0" w:space="0" w:color="auto"/>
          </w:divBdr>
          <w:divsChild>
            <w:div w:id="535587558">
              <w:marLeft w:val="0"/>
              <w:marRight w:val="0"/>
              <w:marTop w:val="0"/>
              <w:marBottom w:val="0"/>
              <w:divBdr>
                <w:top w:val="none" w:sz="0" w:space="0" w:color="auto"/>
                <w:left w:val="none" w:sz="0" w:space="0" w:color="auto"/>
                <w:bottom w:val="none" w:sz="0" w:space="0" w:color="auto"/>
                <w:right w:val="none" w:sz="0" w:space="0" w:color="auto"/>
              </w:divBdr>
              <w:divsChild>
                <w:div w:id="1952710980">
                  <w:marLeft w:val="0"/>
                  <w:marRight w:val="0"/>
                  <w:marTop w:val="100"/>
                  <w:marBottom w:val="100"/>
                  <w:divBdr>
                    <w:top w:val="none" w:sz="0" w:space="0" w:color="auto"/>
                    <w:left w:val="none" w:sz="0" w:space="0" w:color="auto"/>
                    <w:bottom w:val="none" w:sz="0" w:space="0" w:color="auto"/>
                    <w:right w:val="none" w:sz="0" w:space="0" w:color="auto"/>
                  </w:divBdr>
                  <w:divsChild>
                    <w:div w:id="1415475021">
                      <w:marLeft w:val="0"/>
                      <w:marRight w:val="0"/>
                      <w:marTop w:val="0"/>
                      <w:marBottom w:val="0"/>
                      <w:divBdr>
                        <w:top w:val="none" w:sz="0" w:space="0" w:color="auto"/>
                        <w:left w:val="none" w:sz="0" w:space="0" w:color="auto"/>
                        <w:bottom w:val="none" w:sz="0" w:space="0" w:color="auto"/>
                        <w:right w:val="none" w:sz="0" w:space="0" w:color="auto"/>
                      </w:divBdr>
                      <w:divsChild>
                        <w:div w:id="952785518">
                          <w:marLeft w:val="0"/>
                          <w:marRight w:val="0"/>
                          <w:marTop w:val="0"/>
                          <w:marBottom w:val="0"/>
                          <w:divBdr>
                            <w:top w:val="none" w:sz="0" w:space="0" w:color="auto"/>
                            <w:left w:val="none" w:sz="0" w:space="0" w:color="auto"/>
                            <w:bottom w:val="none" w:sz="0" w:space="0" w:color="auto"/>
                            <w:right w:val="none" w:sz="0" w:space="0" w:color="auto"/>
                          </w:divBdr>
                          <w:divsChild>
                            <w:div w:id="1679499761">
                              <w:marLeft w:val="0"/>
                              <w:marRight w:val="0"/>
                              <w:marTop w:val="0"/>
                              <w:marBottom w:val="0"/>
                              <w:divBdr>
                                <w:top w:val="none" w:sz="0" w:space="0" w:color="auto"/>
                                <w:left w:val="none" w:sz="0" w:space="0" w:color="auto"/>
                                <w:bottom w:val="none" w:sz="0" w:space="0" w:color="auto"/>
                                <w:right w:val="none" w:sz="0" w:space="0" w:color="auto"/>
                              </w:divBdr>
                              <w:divsChild>
                                <w:div w:id="841578864">
                                  <w:marLeft w:val="0"/>
                                  <w:marRight w:val="0"/>
                                  <w:marTop w:val="0"/>
                                  <w:marBottom w:val="0"/>
                                  <w:divBdr>
                                    <w:top w:val="none" w:sz="0" w:space="0" w:color="auto"/>
                                    <w:left w:val="none" w:sz="0" w:space="0" w:color="auto"/>
                                    <w:bottom w:val="none" w:sz="0" w:space="0" w:color="auto"/>
                                    <w:right w:val="none" w:sz="0" w:space="0" w:color="auto"/>
                                  </w:divBdr>
                                  <w:divsChild>
                                    <w:div w:id="248971709">
                                      <w:marLeft w:val="0"/>
                                      <w:marRight w:val="0"/>
                                      <w:marTop w:val="0"/>
                                      <w:marBottom w:val="0"/>
                                      <w:divBdr>
                                        <w:top w:val="none" w:sz="0" w:space="0" w:color="auto"/>
                                        <w:left w:val="none" w:sz="0" w:space="0" w:color="auto"/>
                                        <w:bottom w:val="none" w:sz="0" w:space="0" w:color="auto"/>
                                        <w:right w:val="none" w:sz="0" w:space="0" w:color="auto"/>
                                      </w:divBdr>
                                      <w:divsChild>
                                        <w:div w:id="1448231844">
                                          <w:marLeft w:val="150"/>
                                          <w:marRight w:val="150"/>
                                          <w:marTop w:val="0"/>
                                          <w:marBottom w:val="0"/>
                                          <w:divBdr>
                                            <w:top w:val="none" w:sz="0" w:space="0" w:color="auto"/>
                                            <w:left w:val="none" w:sz="0" w:space="0" w:color="auto"/>
                                            <w:bottom w:val="none" w:sz="0" w:space="0" w:color="auto"/>
                                            <w:right w:val="none" w:sz="0" w:space="0" w:color="auto"/>
                                          </w:divBdr>
                                          <w:divsChild>
                                            <w:div w:id="1356809496">
                                              <w:marLeft w:val="0"/>
                                              <w:marRight w:val="0"/>
                                              <w:marTop w:val="150"/>
                                              <w:marBottom w:val="150"/>
                                              <w:divBdr>
                                                <w:top w:val="none" w:sz="0" w:space="0" w:color="auto"/>
                                                <w:left w:val="none" w:sz="0" w:space="0" w:color="auto"/>
                                                <w:bottom w:val="single" w:sz="6" w:space="4" w:color="C7C7C7"/>
                                                <w:right w:val="none" w:sz="0" w:space="0" w:color="auto"/>
                                              </w:divBdr>
                                              <w:divsChild>
                                                <w:div w:id="517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343138">
      <w:bodyDiv w:val="1"/>
      <w:marLeft w:val="0"/>
      <w:marRight w:val="0"/>
      <w:marTop w:val="0"/>
      <w:marBottom w:val="0"/>
      <w:divBdr>
        <w:top w:val="none" w:sz="0" w:space="0" w:color="auto"/>
        <w:left w:val="none" w:sz="0" w:space="0" w:color="auto"/>
        <w:bottom w:val="none" w:sz="0" w:space="0" w:color="auto"/>
        <w:right w:val="none" w:sz="0" w:space="0" w:color="auto"/>
      </w:divBdr>
      <w:divsChild>
        <w:div w:id="2015721739">
          <w:marLeft w:val="0"/>
          <w:marRight w:val="0"/>
          <w:marTop w:val="0"/>
          <w:marBottom w:val="0"/>
          <w:divBdr>
            <w:top w:val="none" w:sz="0" w:space="0" w:color="auto"/>
            <w:left w:val="none" w:sz="0" w:space="0" w:color="auto"/>
            <w:bottom w:val="none" w:sz="0" w:space="0" w:color="auto"/>
            <w:right w:val="none" w:sz="0" w:space="0" w:color="auto"/>
          </w:divBdr>
          <w:divsChild>
            <w:div w:id="1197546171">
              <w:marLeft w:val="0"/>
              <w:marRight w:val="0"/>
              <w:marTop w:val="0"/>
              <w:marBottom w:val="0"/>
              <w:divBdr>
                <w:top w:val="none" w:sz="0" w:space="0" w:color="auto"/>
                <w:left w:val="none" w:sz="0" w:space="0" w:color="auto"/>
                <w:bottom w:val="none" w:sz="0" w:space="0" w:color="auto"/>
                <w:right w:val="none" w:sz="0" w:space="0" w:color="auto"/>
              </w:divBdr>
              <w:divsChild>
                <w:div w:id="960068251">
                  <w:marLeft w:val="0"/>
                  <w:marRight w:val="0"/>
                  <w:marTop w:val="100"/>
                  <w:marBottom w:val="100"/>
                  <w:divBdr>
                    <w:top w:val="none" w:sz="0" w:space="0" w:color="auto"/>
                    <w:left w:val="none" w:sz="0" w:space="0" w:color="auto"/>
                    <w:bottom w:val="none" w:sz="0" w:space="0" w:color="auto"/>
                    <w:right w:val="none" w:sz="0" w:space="0" w:color="auto"/>
                  </w:divBdr>
                  <w:divsChild>
                    <w:div w:id="1226913757">
                      <w:marLeft w:val="0"/>
                      <w:marRight w:val="0"/>
                      <w:marTop w:val="0"/>
                      <w:marBottom w:val="0"/>
                      <w:divBdr>
                        <w:top w:val="none" w:sz="0" w:space="0" w:color="auto"/>
                        <w:left w:val="none" w:sz="0" w:space="0" w:color="auto"/>
                        <w:bottom w:val="none" w:sz="0" w:space="0" w:color="auto"/>
                        <w:right w:val="none" w:sz="0" w:space="0" w:color="auto"/>
                      </w:divBdr>
                      <w:divsChild>
                        <w:div w:id="1117524301">
                          <w:marLeft w:val="0"/>
                          <w:marRight w:val="0"/>
                          <w:marTop w:val="0"/>
                          <w:marBottom w:val="0"/>
                          <w:divBdr>
                            <w:top w:val="none" w:sz="0" w:space="0" w:color="auto"/>
                            <w:left w:val="none" w:sz="0" w:space="0" w:color="auto"/>
                            <w:bottom w:val="none" w:sz="0" w:space="0" w:color="auto"/>
                            <w:right w:val="none" w:sz="0" w:space="0" w:color="auto"/>
                          </w:divBdr>
                          <w:divsChild>
                            <w:div w:id="1783261773">
                              <w:marLeft w:val="0"/>
                              <w:marRight w:val="0"/>
                              <w:marTop w:val="0"/>
                              <w:marBottom w:val="0"/>
                              <w:divBdr>
                                <w:top w:val="none" w:sz="0" w:space="0" w:color="auto"/>
                                <w:left w:val="none" w:sz="0" w:space="0" w:color="auto"/>
                                <w:bottom w:val="none" w:sz="0" w:space="0" w:color="auto"/>
                                <w:right w:val="none" w:sz="0" w:space="0" w:color="auto"/>
                              </w:divBdr>
                              <w:divsChild>
                                <w:div w:id="204685626">
                                  <w:marLeft w:val="0"/>
                                  <w:marRight w:val="0"/>
                                  <w:marTop w:val="0"/>
                                  <w:marBottom w:val="0"/>
                                  <w:divBdr>
                                    <w:top w:val="none" w:sz="0" w:space="0" w:color="auto"/>
                                    <w:left w:val="none" w:sz="0" w:space="0" w:color="auto"/>
                                    <w:bottom w:val="none" w:sz="0" w:space="0" w:color="auto"/>
                                    <w:right w:val="none" w:sz="0" w:space="0" w:color="auto"/>
                                  </w:divBdr>
                                  <w:divsChild>
                                    <w:div w:id="816797319">
                                      <w:marLeft w:val="0"/>
                                      <w:marRight w:val="0"/>
                                      <w:marTop w:val="0"/>
                                      <w:marBottom w:val="0"/>
                                      <w:divBdr>
                                        <w:top w:val="none" w:sz="0" w:space="0" w:color="auto"/>
                                        <w:left w:val="none" w:sz="0" w:space="0" w:color="auto"/>
                                        <w:bottom w:val="none" w:sz="0" w:space="0" w:color="auto"/>
                                        <w:right w:val="none" w:sz="0" w:space="0" w:color="auto"/>
                                      </w:divBdr>
                                      <w:divsChild>
                                        <w:div w:id="719792132">
                                          <w:marLeft w:val="150"/>
                                          <w:marRight w:val="150"/>
                                          <w:marTop w:val="0"/>
                                          <w:marBottom w:val="0"/>
                                          <w:divBdr>
                                            <w:top w:val="none" w:sz="0" w:space="0" w:color="auto"/>
                                            <w:left w:val="none" w:sz="0" w:space="0" w:color="auto"/>
                                            <w:bottom w:val="none" w:sz="0" w:space="0" w:color="auto"/>
                                            <w:right w:val="none" w:sz="0" w:space="0" w:color="auto"/>
                                          </w:divBdr>
                                          <w:divsChild>
                                            <w:div w:id="1112438673">
                                              <w:marLeft w:val="0"/>
                                              <w:marRight w:val="0"/>
                                              <w:marTop w:val="150"/>
                                              <w:marBottom w:val="150"/>
                                              <w:divBdr>
                                                <w:top w:val="none" w:sz="0" w:space="0" w:color="auto"/>
                                                <w:left w:val="none" w:sz="0" w:space="0" w:color="auto"/>
                                                <w:bottom w:val="single" w:sz="6" w:space="4" w:color="C7C7C7"/>
                                                <w:right w:val="none" w:sz="0" w:space="0" w:color="auto"/>
                                              </w:divBdr>
                                              <w:divsChild>
                                                <w:div w:id="1628849392">
                                                  <w:marLeft w:val="0"/>
                                                  <w:marRight w:val="0"/>
                                                  <w:marTop w:val="0"/>
                                                  <w:marBottom w:val="0"/>
                                                  <w:divBdr>
                                                    <w:top w:val="none" w:sz="0" w:space="0" w:color="auto"/>
                                                    <w:left w:val="none" w:sz="0" w:space="0" w:color="auto"/>
                                                    <w:bottom w:val="none" w:sz="0" w:space="0" w:color="auto"/>
                                                    <w:right w:val="none" w:sz="0" w:space="0" w:color="auto"/>
                                                  </w:divBdr>
                                                  <w:divsChild>
                                                    <w:div w:id="395781888">
                                                      <w:marLeft w:val="0"/>
                                                      <w:marRight w:val="0"/>
                                                      <w:marTop w:val="0"/>
                                                      <w:marBottom w:val="0"/>
                                                      <w:divBdr>
                                                        <w:top w:val="none" w:sz="0" w:space="0" w:color="auto"/>
                                                        <w:left w:val="none" w:sz="0" w:space="0" w:color="auto"/>
                                                        <w:bottom w:val="none" w:sz="0" w:space="0" w:color="auto"/>
                                                        <w:right w:val="none" w:sz="0" w:space="0" w:color="auto"/>
                                                      </w:divBdr>
                                                    </w:div>
                                                    <w:div w:id="1044938208">
                                                      <w:marLeft w:val="0"/>
                                                      <w:marRight w:val="0"/>
                                                      <w:marTop w:val="0"/>
                                                      <w:marBottom w:val="0"/>
                                                      <w:divBdr>
                                                        <w:top w:val="none" w:sz="0" w:space="0" w:color="auto"/>
                                                        <w:left w:val="none" w:sz="0" w:space="0" w:color="auto"/>
                                                        <w:bottom w:val="none" w:sz="0" w:space="0" w:color="auto"/>
                                                        <w:right w:val="none" w:sz="0" w:space="0" w:color="auto"/>
                                                      </w:divBdr>
                                                    </w:div>
                                                    <w:div w:id="699010750">
                                                      <w:marLeft w:val="0"/>
                                                      <w:marRight w:val="0"/>
                                                      <w:marTop w:val="0"/>
                                                      <w:marBottom w:val="0"/>
                                                      <w:divBdr>
                                                        <w:top w:val="none" w:sz="0" w:space="0" w:color="auto"/>
                                                        <w:left w:val="none" w:sz="0" w:space="0" w:color="auto"/>
                                                        <w:bottom w:val="none" w:sz="0" w:space="0" w:color="auto"/>
                                                        <w:right w:val="none" w:sz="0" w:space="0" w:color="auto"/>
                                                      </w:divBdr>
                                                    </w:div>
                                                    <w:div w:id="570501503">
                                                      <w:marLeft w:val="0"/>
                                                      <w:marRight w:val="0"/>
                                                      <w:marTop w:val="0"/>
                                                      <w:marBottom w:val="0"/>
                                                      <w:divBdr>
                                                        <w:top w:val="none" w:sz="0" w:space="0" w:color="auto"/>
                                                        <w:left w:val="none" w:sz="0" w:space="0" w:color="auto"/>
                                                        <w:bottom w:val="none" w:sz="0" w:space="0" w:color="auto"/>
                                                        <w:right w:val="none" w:sz="0" w:space="0" w:color="auto"/>
                                                      </w:divBdr>
                                                    </w:div>
                                                    <w:div w:id="1969890484">
                                                      <w:marLeft w:val="0"/>
                                                      <w:marRight w:val="0"/>
                                                      <w:marTop w:val="0"/>
                                                      <w:marBottom w:val="0"/>
                                                      <w:divBdr>
                                                        <w:top w:val="none" w:sz="0" w:space="0" w:color="auto"/>
                                                        <w:left w:val="none" w:sz="0" w:space="0" w:color="auto"/>
                                                        <w:bottom w:val="none" w:sz="0" w:space="0" w:color="auto"/>
                                                        <w:right w:val="none" w:sz="0" w:space="0" w:color="auto"/>
                                                      </w:divBdr>
                                                    </w:div>
                                                    <w:div w:id="295723184">
                                                      <w:marLeft w:val="0"/>
                                                      <w:marRight w:val="0"/>
                                                      <w:marTop w:val="0"/>
                                                      <w:marBottom w:val="0"/>
                                                      <w:divBdr>
                                                        <w:top w:val="none" w:sz="0" w:space="0" w:color="auto"/>
                                                        <w:left w:val="none" w:sz="0" w:space="0" w:color="auto"/>
                                                        <w:bottom w:val="none" w:sz="0" w:space="0" w:color="auto"/>
                                                        <w:right w:val="none" w:sz="0" w:space="0" w:color="auto"/>
                                                      </w:divBdr>
                                                    </w:div>
                                                    <w:div w:id="13841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9969267">
      <w:bodyDiv w:val="1"/>
      <w:marLeft w:val="0"/>
      <w:marRight w:val="0"/>
      <w:marTop w:val="0"/>
      <w:marBottom w:val="0"/>
      <w:divBdr>
        <w:top w:val="none" w:sz="0" w:space="0" w:color="auto"/>
        <w:left w:val="none" w:sz="0" w:space="0" w:color="auto"/>
        <w:bottom w:val="none" w:sz="0" w:space="0" w:color="auto"/>
        <w:right w:val="none" w:sz="0" w:space="0" w:color="auto"/>
      </w:divBdr>
      <w:divsChild>
        <w:div w:id="1875923929">
          <w:marLeft w:val="0"/>
          <w:marRight w:val="0"/>
          <w:marTop w:val="0"/>
          <w:marBottom w:val="0"/>
          <w:divBdr>
            <w:top w:val="none" w:sz="0" w:space="0" w:color="auto"/>
            <w:left w:val="none" w:sz="0" w:space="0" w:color="auto"/>
            <w:bottom w:val="none" w:sz="0" w:space="0" w:color="auto"/>
            <w:right w:val="none" w:sz="0" w:space="0" w:color="auto"/>
          </w:divBdr>
          <w:divsChild>
            <w:div w:id="877662242">
              <w:marLeft w:val="0"/>
              <w:marRight w:val="0"/>
              <w:marTop w:val="0"/>
              <w:marBottom w:val="0"/>
              <w:divBdr>
                <w:top w:val="none" w:sz="0" w:space="0" w:color="auto"/>
                <w:left w:val="none" w:sz="0" w:space="0" w:color="auto"/>
                <w:bottom w:val="none" w:sz="0" w:space="0" w:color="auto"/>
                <w:right w:val="none" w:sz="0" w:space="0" w:color="auto"/>
              </w:divBdr>
              <w:divsChild>
                <w:div w:id="318314566">
                  <w:marLeft w:val="0"/>
                  <w:marRight w:val="0"/>
                  <w:marTop w:val="100"/>
                  <w:marBottom w:val="100"/>
                  <w:divBdr>
                    <w:top w:val="none" w:sz="0" w:space="0" w:color="auto"/>
                    <w:left w:val="none" w:sz="0" w:space="0" w:color="auto"/>
                    <w:bottom w:val="none" w:sz="0" w:space="0" w:color="auto"/>
                    <w:right w:val="none" w:sz="0" w:space="0" w:color="auto"/>
                  </w:divBdr>
                  <w:divsChild>
                    <w:div w:id="1025248267">
                      <w:marLeft w:val="0"/>
                      <w:marRight w:val="0"/>
                      <w:marTop w:val="0"/>
                      <w:marBottom w:val="0"/>
                      <w:divBdr>
                        <w:top w:val="none" w:sz="0" w:space="0" w:color="auto"/>
                        <w:left w:val="none" w:sz="0" w:space="0" w:color="auto"/>
                        <w:bottom w:val="none" w:sz="0" w:space="0" w:color="auto"/>
                        <w:right w:val="none" w:sz="0" w:space="0" w:color="auto"/>
                      </w:divBdr>
                      <w:divsChild>
                        <w:div w:id="1260141390">
                          <w:marLeft w:val="0"/>
                          <w:marRight w:val="0"/>
                          <w:marTop w:val="0"/>
                          <w:marBottom w:val="0"/>
                          <w:divBdr>
                            <w:top w:val="none" w:sz="0" w:space="0" w:color="auto"/>
                            <w:left w:val="none" w:sz="0" w:space="0" w:color="auto"/>
                            <w:bottom w:val="none" w:sz="0" w:space="0" w:color="auto"/>
                            <w:right w:val="none" w:sz="0" w:space="0" w:color="auto"/>
                          </w:divBdr>
                          <w:divsChild>
                            <w:div w:id="1677152430">
                              <w:marLeft w:val="0"/>
                              <w:marRight w:val="0"/>
                              <w:marTop w:val="0"/>
                              <w:marBottom w:val="0"/>
                              <w:divBdr>
                                <w:top w:val="none" w:sz="0" w:space="0" w:color="auto"/>
                                <w:left w:val="none" w:sz="0" w:space="0" w:color="auto"/>
                                <w:bottom w:val="none" w:sz="0" w:space="0" w:color="auto"/>
                                <w:right w:val="none" w:sz="0" w:space="0" w:color="auto"/>
                              </w:divBdr>
                              <w:divsChild>
                                <w:div w:id="1970436410">
                                  <w:marLeft w:val="0"/>
                                  <w:marRight w:val="0"/>
                                  <w:marTop w:val="0"/>
                                  <w:marBottom w:val="0"/>
                                  <w:divBdr>
                                    <w:top w:val="none" w:sz="0" w:space="0" w:color="auto"/>
                                    <w:left w:val="none" w:sz="0" w:space="0" w:color="auto"/>
                                    <w:bottom w:val="none" w:sz="0" w:space="0" w:color="auto"/>
                                    <w:right w:val="none" w:sz="0" w:space="0" w:color="auto"/>
                                  </w:divBdr>
                                  <w:divsChild>
                                    <w:div w:id="936249744">
                                      <w:marLeft w:val="0"/>
                                      <w:marRight w:val="0"/>
                                      <w:marTop w:val="0"/>
                                      <w:marBottom w:val="0"/>
                                      <w:divBdr>
                                        <w:top w:val="none" w:sz="0" w:space="0" w:color="auto"/>
                                        <w:left w:val="none" w:sz="0" w:space="0" w:color="auto"/>
                                        <w:bottom w:val="none" w:sz="0" w:space="0" w:color="auto"/>
                                        <w:right w:val="none" w:sz="0" w:space="0" w:color="auto"/>
                                      </w:divBdr>
                                      <w:divsChild>
                                        <w:div w:id="683441045">
                                          <w:marLeft w:val="150"/>
                                          <w:marRight w:val="150"/>
                                          <w:marTop w:val="0"/>
                                          <w:marBottom w:val="0"/>
                                          <w:divBdr>
                                            <w:top w:val="none" w:sz="0" w:space="0" w:color="auto"/>
                                            <w:left w:val="none" w:sz="0" w:space="0" w:color="auto"/>
                                            <w:bottom w:val="none" w:sz="0" w:space="0" w:color="auto"/>
                                            <w:right w:val="none" w:sz="0" w:space="0" w:color="auto"/>
                                          </w:divBdr>
                                          <w:divsChild>
                                            <w:div w:id="746003669">
                                              <w:marLeft w:val="0"/>
                                              <w:marRight w:val="0"/>
                                              <w:marTop w:val="150"/>
                                              <w:marBottom w:val="150"/>
                                              <w:divBdr>
                                                <w:top w:val="none" w:sz="0" w:space="0" w:color="auto"/>
                                                <w:left w:val="none" w:sz="0" w:space="0" w:color="auto"/>
                                                <w:bottom w:val="single" w:sz="6" w:space="4" w:color="C7C7C7"/>
                                                <w:right w:val="none" w:sz="0" w:space="0" w:color="auto"/>
                                              </w:divBdr>
                                              <w:divsChild>
                                                <w:div w:id="2345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259153">
      <w:bodyDiv w:val="1"/>
      <w:marLeft w:val="0"/>
      <w:marRight w:val="0"/>
      <w:marTop w:val="0"/>
      <w:marBottom w:val="0"/>
      <w:divBdr>
        <w:top w:val="none" w:sz="0" w:space="0" w:color="auto"/>
        <w:left w:val="none" w:sz="0" w:space="0" w:color="auto"/>
        <w:bottom w:val="none" w:sz="0" w:space="0" w:color="auto"/>
        <w:right w:val="none" w:sz="0" w:space="0" w:color="auto"/>
      </w:divBdr>
      <w:divsChild>
        <w:div w:id="1773546181">
          <w:marLeft w:val="0"/>
          <w:marRight w:val="0"/>
          <w:marTop w:val="0"/>
          <w:marBottom w:val="0"/>
          <w:divBdr>
            <w:top w:val="none" w:sz="0" w:space="0" w:color="auto"/>
            <w:left w:val="none" w:sz="0" w:space="0" w:color="auto"/>
            <w:bottom w:val="none" w:sz="0" w:space="0" w:color="auto"/>
            <w:right w:val="none" w:sz="0" w:space="0" w:color="auto"/>
          </w:divBdr>
          <w:divsChild>
            <w:div w:id="791555702">
              <w:marLeft w:val="0"/>
              <w:marRight w:val="0"/>
              <w:marTop w:val="0"/>
              <w:marBottom w:val="0"/>
              <w:divBdr>
                <w:top w:val="none" w:sz="0" w:space="0" w:color="auto"/>
                <w:left w:val="none" w:sz="0" w:space="0" w:color="auto"/>
                <w:bottom w:val="none" w:sz="0" w:space="0" w:color="auto"/>
                <w:right w:val="none" w:sz="0" w:space="0" w:color="auto"/>
              </w:divBdr>
              <w:divsChild>
                <w:div w:id="1107774734">
                  <w:marLeft w:val="0"/>
                  <w:marRight w:val="0"/>
                  <w:marTop w:val="100"/>
                  <w:marBottom w:val="100"/>
                  <w:divBdr>
                    <w:top w:val="none" w:sz="0" w:space="0" w:color="auto"/>
                    <w:left w:val="none" w:sz="0" w:space="0" w:color="auto"/>
                    <w:bottom w:val="none" w:sz="0" w:space="0" w:color="auto"/>
                    <w:right w:val="none" w:sz="0" w:space="0" w:color="auto"/>
                  </w:divBdr>
                  <w:divsChild>
                    <w:div w:id="1842886895">
                      <w:marLeft w:val="0"/>
                      <w:marRight w:val="0"/>
                      <w:marTop w:val="0"/>
                      <w:marBottom w:val="0"/>
                      <w:divBdr>
                        <w:top w:val="none" w:sz="0" w:space="0" w:color="auto"/>
                        <w:left w:val="none" w:sz="0" w:space="0" w:color="auto"/>
                        <w:bottom w:val="none" w:sz="0" w:space="0" w:color="auto"/>
                        <w:right w:val="none" w:sz="0" w:space="0" w:color="auto"/>
                      </w:divBdr>
                      <w:divsChild>
                        <w:div w:id="541792390">
                          <w:marLeft w:val="0"/>
                          <w:marRight w:val="0"/>
                          <w:marTop w:val="0"/>
                          <w:marBottom w:val="0"/>
                          <w:divBdr>
                            <w:top w:val="none" w:sz="0" w:space="0" w:color="auto"/>
                            <w:left w:val="none" w:sz="0" w:space="0" w:color="auto"/>
                            <w:bottom w:val="none" w:sz="0" w:space="0" w:color="auto"/>
                            <w:right w:val="none" w:sz="0" w:space="0" w:color="auto"/>
                          </w:divBdr>
                          <w:divsChild>
                            <w:div w:id="1834029285">
                              <w:marLeft w:val="0"/>
                              <w:marRight w:val="0"/>
                              <w:marTop w:val="0"/>
                              <w:marBottom w:val="0"/>
                              <w:divBdr>
                                <w:top w:val="none" w:sz="0" w:space="0" w:color="auto"/>
                                <w:left w:val="none" w:sz="0" w:space="0" w:color="auto"/>
                                <w:bottom w:val="none" w:sz="0" w:space="0" w:color="auto"/>
                                <w:right w:val="none" w:sz="0" w:space="0" w:color="auto"/>
                              </w:divBdr>
                              <w:divsChild>
                                <w:div w:id="1437140428">
                                  <w:marLeft w:val="0"/>
                                  <w:marRight w:val="0"/>
                                  <w:marTop w:val="0"/>
                                  <w:marBottom w:val="0"/>
                                  <w:divBdr>
                                    <w:top w:val="none" w:sz="0" w:space="0" w:color="auto"/>
                                    <w:left w:val="none" w:sz="0" w:space="0" w:color="auto"/>
                                    <w:bottom w:val="none" w:sz="0" w:space="0" w:color="auto"/>
                                    <w:right w:val="none" w:sz="0" w:space="0" w:color="auto"/>
                                  </w:divBdr>
                                  <w:divsChild>
                                    <w:div w:id="1927961068">
                                      <w:marLeft w:val="0"/>
                                      <w:marRight w:val="0"/>
                                      <w:marTop w:val="0"/>
                                      <w:marBottom w:val="0"/>
                                      <w:divBdr>
                                        <w:top w:val="none" w:sz="0" w:space="0" w:color="auto"/>
                                        <w:left w:val="none" w:sz="0" w:space="0" w:color="auto"/>
                                        <w:bottom w:val="none" w:sz="0" w:space="0" w:color="auto"/>
                                        <w:right w:val="none" w:sz="0" w:space="0" w:color="auto"/>
                                      </w:divBdr>
                                      <w:divsChild>
                                        <w:div w:id="176163296">
                                          <w:marLeft w:val="150"/>
                                          <w:marRight w:val="150"/>
                                          <w:marTop w:val="0"/>
                                          <w:marBottom w:val="0"/>
                                          <w:divBdr>
                                            <w:top w:val="none" w:sz="0" w:space="0" w:color="auto"/>
                                            <w:left w:val="none" w:sz="0" w:space="0" w:color="auto"/>
                                            <w:bottom w:val="none" w:sz="0" w:space="0" w:color="auto"/>
                                            <w:right w:val="none" w:sz="0" w:space="0" w:color="auto"/>
                                          </w:divBdr>
                                          <w:divsChild>
                                            <w:div w:id="360015019">
                                              <w:marLeft w:val="0"/>
                                              <w:marRight w:val="0"/>
                                              <w:marTop w:val="150"/>
                                              <w:marBottom w:val="150"/>
                                              <w:divBdr>
                                                <w:top w:val="none" w:sz="0" w:space="0" w:color="auto"/>
                                                <w:left w:val="none" w:sz="0" w:space="0" w:color="auto"/>
                                                <w:bottom w:val="single" w:sz="6" w:space="4" w:color="C7C7C7"/>
                                                <w:right w:val="none" w:sz="0" w:space="0" w:color="auto"/>
                                              </w:divBdr>
                                              <w:divsChild>
                                                <w:div w:id="505171954">
                                                  <w:marLeft w:val="0"/>
                                                  <w:marRight w:val="0"/>
                                                  <w:marTop w:val="0"/>
                                                  <w:marBottom w:val="0"/>
                                                  <w:divBdr>
                                                    <w:top w:val="none" w:sz="0" w:space="0" w:color="auto"/>
                                                    <w:left w:val="none" w:sz="0" w:space="0" w:color="auto"/>
                                                    <w:bottom w:val="none" w:sz="0" w:space="0" w:color="auto"/>
                                                    <w:right w:val="none" w:sz="0" w:space="0" w:color="auto"/>
                                                  </w:divBdr>
                                                  <w:divsChild>
                                                    <w:div w:id="2138182700">
                                                      <w:marLeft w:val="0"/>
                                                      <w:marRight w:val="0"/>
                                                      <w:marTop w:val="0"/>
                                                      <w:marBottom w:val="0"/>
                                                      <w:divBdr>
                                                        <w:top w:val="none" w:sz="0" w:space="0" w:color="auto"/>
                                                        <w:left w:val="none" w:sz="0" w:space="0" w:color="auto"/>
                                                        <w:bottom w:val="none" w:sz="0" w:space="0" w:color="auto"/>
                                                        <w:right w:val="none" w:sz="0" w:space="0" w:color="auto"/>
                                                      </w:divBdr>
                                                      <w:divsChild>
                                                        <w:div w:id="186219792">
                                                          <w:marLeft w:val="0"/>
                                                          <w:marRight w:val="0"/>
                                                          <w:marTop w:val="0"/>
                                                          <w:marBottom w:val="0"/>
                                                          <w:divBdr>
                                                            <w:top w:val="none" w:sz="0" w:space="0" w:color="auto"/>
                                                            <w:left w:val="none" w:sz="0" w:space="0" w:color="auto"/>
                                                            <w:bottom w:val="none" w:sz="0" w:space="0" w:color="auto"/>
                                                            <w:right w:val="none" w:sz="0" w:space="0" w:color="auto"/>
                                                          </w:divBdr>
                                                          <w:divsChild>
                                                            <w:div w:id="228074569">
                                                              <w:marLeft w:val="0"/>
                                                              <w:marRight w:val="0"/>
                                                              <w:marTop w:val="0"/>
                                                              <w:marBottom w:val="0"/>
                                                              <w:divBdr>
                                                                <w:top w:val="none" w:sz="0" w:space="0" w:color="auto"/>
                                                                <w:left w:val="none" w:sz="0" w:space="0" w:color="auto"/>
                                                                <w:bottom w:val="none" w:sz="0" w:space="0" w:color="auto"/>
                                                                <w:right w:val="none" w:sz="0" w:space="0" w:color="auto"/>
                                                              </w:divBdr>
                                                              <w:divsChild>
                                                                <w:div w:id="559361541">
                                                                  <w:marLeft w:val="0"/>
                                                                  <w:marRight w:val="0"/>
                                                                  <w:marTop w:val="100"/>
                                                                  <w:marBottom w:val="100"/>
                                                                  <w:divBdr>
                                                                    <w:top w:val="none" w:sz="0" w:space="0" w:color="auto"/>
                                                                    <w:left w:val="none" w:sz="0" w:space="0" w:color="auto"/>
                                                                    <w:bottom w:val="none" w:sz="0" w:space="0" w:color="auto"/>
                                                                    <w:right w:val="none" w:sz="0" w:space="0" w:color="auto"/>
                                                                  </w:divBdr>
                                                                  <w:divsChild>
                                                                    <w:div w:id="30155426">
                                                                      <w:marLeft w:val="0"/>
                                                                      <w:marRight w:val="0"/>
                                                                      <w:marTop w:val="0"/>
                                                                      <w:marBottom w:val="0"/>
                                                                      <w:divBdr>
                                                                        <w:top w:val="none" w:sz="0" w:space="0" w:color="auto"/>
                                                                        <w:left w:val="none" w:sz="0" w:space="0" w:color="auto"/>
                                                                        <w:bottom w:val="none" w:sz="0" w:space="0" w:color="auto"/>
                                                                        <w:right w:val="none" w:sz="0" w:space="0" w:color="auto"/>
                                                                      </w:divBdr>
                                                                      <w:divsChild>
                                                                        <w:div w:id="277956286">
                                                                          <w:marLeft w:val="0"/>
                                                                          <w:marRight w:val="0"/>
                                                                          <w:marTop w:val="0"/>
                                                                          <w:marBottom w:val="0"/>
                                                                          <w:divBdr>
                                                                            <w:top w:val="none" w:sz="0" w:space="0" w:color="auto"/>
                                                                            <w:left w:val="none" w:sz="0" w:space="0" w:color="auto"/>
                                                                            <w:bottom w:val="none" w:sz="0" w:space="0" w:color="auto"/>
                                                                            <w:right w:val="none" w:sz="0" w:space="0" w:color="auto"/>
                                                                          </w:divBdr>
                                                                          <w:divsChild>
                                                                            <w:div w:id="167137850">
                                                                              <w:marLeft w:val="0"/>
                                                                              <w:marRight w:val="0"/>
                                                                              <w:marTop w:val="0"/>
                                                                              <w:marBottom w:val="0"/>
                                                                              <w:divBdr>
                                                                                <w:top w:val="none" w:sz="0" w:space="0" w:color="auto"/>
                                                                                <w:left w:val="none" w:sz="0" w:space="0" w:color="auto"/>
                                                                                <w:bottom w:val="none" w:sz="0" w:space="0" w:color="auto"/>
                                                                                <w:right w:val="none" w:sz="0" w:space="0" w:color="auto"/>
                                                                              </w:divBdr>
                                                                              <w:divsChild>
                                                                                <w:div w:id="1700469118">
                                                                                  <w:marLeft w:val="0"/>
                                                                                  <w:marRight w:val="0"/>
                                                                                  <w:marTop w:val="0"/>
                                                                                  <w:marBottom w:val="0"/>
                                                                                  <w:divBdr>
                                                                                    <w:top w:val="none" w:sz="0" w:space="0" w:color="auto"/>
                                                                                    <w:left w:val="none" w:sz="0" w:space="0" w:color="auto"/>
                                                                                    <w:bottom w:val="none" w:sz="0" w:space="0" w:color="auto"/>
                                                                                    <w:right w:val="none" w:sz="0" w:space="0" w:color="auto"/>
                                                                                  </w:divBdr>
                                                                                  <w:divsChild>
                                                                                    <w:div w:id="155654305">
                                                                                      <w:marLeft w:val="0"/>
                                                                                      <w:marRight w:val="0"/>
                                                                                      <w:marTop w:val="0"/>
                                                                                      <w:marBottom w:val="0"/>
                                                                                      <w:divBdr>
                                                                                        <w:top w:val="none" w:sz="0" w:space="0" w:color="auto"/>
                                                                                        <w:left w:val="none" w:sz="0" w:space="0" w:color="auto"/>
                                                                                        <w:bottom w:val="none" w:sz="0" w:space="0" w:color="auto"/>
                                                                                        <w:right w:val="none" w:sz="0" w:space="0" w:color="auto"/>
                                                                                      </w:divBdr>
                                                                                      <w:divsChild>
                                                                                        <w:div w:id="268437151">
                                                                                          <w:marLeft w:val="150"/>
                                                                                          <w:marRight w:val="150"/>
                                                                                          <w:marTop w:val="0"/>
                                                                                          <w:marBottom w:val="0"/>
                                                                                          <w:divBdr>
                                                                                            <w:top w:val="none" w:sz="0" w:space="0" w:color="auto"/>
                                                                                            <w:left w:val="none" w:sz="0" w:space="0" w:color="auto"/>
                                                                                            <w:bottom w:val="none" w:sz="0" w:space="0" w:color="auto"/>
                                                                                            <w:right w:val="none" w:sz="0" w:space="0" w:color="auto"/>
                                                                                          </w:divBdr>
                                                                                          <w:divsChild>
                                                                                            <w:div w:id="1689453882">
                                                                                              <w:marLeft w:val="0"/>
                                                                                              <w:marRight w:val="0"/>
                                                                                              <w:marTop w:val="150"/>
                                                                                              <w:marBottom w:val="150"/>
                                                                                              <w:divBdr>
                                                                                                <w:top w:val="none" w:sz="0" w:space="0" w:color="auto"/>
                                                                                                <w:left w:val="none" w:sz="0" w:space="0" w:color="auto"/>
                                                                                                <w:bottom w:val="single" w:sz="6" w:space="4" w:color="C7C7C7"/>
                                                                                                <w:right w:val="none" w:sz="0" w:space="0" w:color="auto"/>
                                                                                              </w:divBdr>
                                                                                              <w:divsChild>
                                                                                                <w:div w:id="213543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5670171">
      <w:bodyDiv w:val="1"/>
      <w:marLeft w:val="0"/>
      <w:marRight w:val="0"/>
      <w:marTop w:val="0"/>
      <w:marBottom w:val="0"/>
      <w:divBdr>
        <w:top w:val="none" w:sz="0" w:space="0" w:color="auto"/>
        <w:left w:val="none" w:sz="0" w:space="0" w:color="auto"/>
        <w:bottom w:val="none" w:sz="0" w:space="0" w:color="auto"/>
        <w:right w:val="none" w:sz="0" w:space="0" w:color="auto"/>
      </w:divBdr>
      <w:divsChild>
        <w:div w:id="1494418174">
          <w:marLeft w:val="0"/>
          <w:marRight w:val="0"/>
          <w:marTop w:val="0"/>
          <w:marBottom w:val="0"/>
          <w:divBdr>
            <w:top w:val="none" w:sz="0" w:space="0" w:color="auto"/>
            <w:left w:val="none" w:sz="0" w:space="0" w:color="auto"/>
            <w:bottom w:val="none" w:sz="0" w:space="0" w:color="auto"/>
            <w:right w:val="none" w:sz="0" w:space="0" w:color="auto"/>
          </w:divBdr>
          <w:divsChild>
            <w:div w:id="228811411">
              <w:marLeft w:val="0"/>
              <w:marRight w:val="0"/>
              <w:marTop w:val="0"/>
              <w:marBottom w:val="0"/>
              <w:divBdr>
                <w:top w:val="none" w:sz="0" w:space="0" w:color="auto"/>
                <w:left w:val="none" w:sz="0" w:space="0" w:color="auto"/>
                <w:bottom w:val="none" w:sz="0" w:space="0" w:color="auto"/>
                <w:right w:val="none" w:sz="0" w:space="0" w:color="auto"/>
              </w:divBdr>
              <w:divsChild>
                <w:div w:id="1958639431">
                  <w:marLeft w:val="0"/>
                  <w:marRight w:val="0"/>
                  <w:marTop w:val="100"/>
                  <w:marBottom w:val="100"/>
                  <w:divBdr>
                    <w:top w:val="none" w:sz="0" w:space="0" w:color="auto"/>
                    <w:left w:val="none" w:sz="0" w:space="0" w:color="auto"/>
                    <w:bottom w:val="none" w:sz="0" w:space="0" w:color="auto"/>
                    <w:right w:val="none" w:sz="0" w:space="0" w:color="auto"/>
                  </w:divBdr>
                  <w:divsChild>
                    <w:div w:id="1659721790">
                      <w:marLeft w:val="0"/>
                      <w:marRight w:val="0"/>
                      <w:marTop w:val="0"/>
                      <w:marBottom w:val="0"/>
                      <w:divBdr>
                        <w:top w:val="none" w:sz="0" w:space="0" w:color="auto"/>
                        <w:left w:val="none" w:sz="0" w:space="0" w:color="auto"/>
                        <w:bottom w:val="none" w:sz="0" w:space="0" w:color="auto"/>
                        <w:right w:val="none" w:sz="0" w:space="0" w:color="auto"/>
                      </w:divBdr>
                      <w:divsChild>
                        <w:div w:id="294216743">
                          <w:marLeft w:val="0"/>
                          <w:marRight w:val="0"/>
                          <w:marTop w:val="0"/>
                          <w:marBottom w:val="0"/>
                          <w:divBdr>
                            <w:top w:val="none" w:sz="0" w:space="0" w:color="auto"/>
                            <w:left w:val="none" w:sz="0" w:space="0" w:color="auto"/>
                            <w:bottom w:val="none" w:sz="0" w:space="0" w:color="auto"/>
                            <w:right w:val="none" w:sz="0" w:space="0" w:color="auto"/>
                          </w:divBdr>
                          <w:divsChild>
                            <w:div w:id="260533186">
                              <w:marLeft w:val="0"/>
                              <w:marRight w:val="0"/>
                              <w:marTop w:val="0"/>
                              <w:marBottom w:val="0"/>
                              <w:divBdr>
                                <w:top w:val="none" w:sz="0" w:space="0" w:color="auto"/>
                                <w:left w:val="none" w:sz="0" w:space="0" w:color="auto"/>
                                <w:bottom w:val="none" w:sz="0" w:space="0" w:color="auto"/>
                                <w:right w:val="none" w:sz="0" w:space="0" w:color="auto"/>
                              </w:divBdr>
                              <w:divsChild>
                                <w:div w:id="412967293">
                                  <w:marLeft w:val="0"/>
                                  <w:marRight w:val="0"/>
                                  <w:marTop w:val="0"/>
                                  <w:marBottom w:val="0"/>
                                  <w:divBdr>
                                    <w:top w:val="none" w:sz="0" w:space="0" w:color="auto"/>
                                    <w:left w:val="none" w:sz="0" w:space="0" w:color="auto"/>
                                    <w:bottom w:val="none" w:sz="0" w:space="0" w:color="auto"/>
                                    <w:right w:val="none" w:sz="0" w:space="0" w:color="auto"/>
                                  </w:divBdr>
                                  <w:divsChild>
                                    <w:div w:id="1340278311">
                                      <w:marLeft w:val="0"/>
                                      <w:marRight w:val="0"/>
                                      <w:marTop w:val="0"/>
                                      <w:marBottom w:val="0"/>
                                      <w:divBdr>
                                        <w:top w:val="none" w:sz="0" w:space="0" w:color="auto"/>
                                        <w:left w:val="none" w:sz="0" w:space="0" w:color="auto"/>
                                        <w:bottom w:val="none" w:sz="0" w:space="0" w:color="auto"/>
                                        <w:right w:val="none" w:sz="0" w:space="0" w:color="auto"/>
                                      </w:divBdr>
                                      <w:divsChild>
                                        <w:div w:id="2125805297">
                                          <w:marLeft w:val="150"/>
                                          <w:marRight w:val="150"/>
                                          <w:marTop w:val="0"/>
                                          <w:marBottom w:val="0"/>
                                          <w:divBdr>
                                            <w:top w:val="none" w:sz="0" w:space="0" w:color="auto"/>
                                            <w:left w:val="none" w:sz="0" w:space="0" w:color="auto"/>
                                            <w:bottom w:val="none" w:sz="0" w:space="0" w:color="auto"/>
                                            <w:right w:val="none" w:sz="0" w:space="0" w:color="auto"/>
                                          </w:divBdr>
                                          <w:divsChild>
                                            <w:div w:id="222521064">
                                              <w:marLeft w:val="0"/>
                                              <w:marRight w:val="0"/>
                                              <w:marTop w:val="150"/>
                                              <w:marBottom w:val="150"/>
                                              <w:divBdr>
                                                <w:top w:val="none" w:sz="0" w:space="0" w:color="auto"/>
                                                <w:left w:val="none" w:sz="0" w:space="0" w:color="auto"/>
                                                <w:bottom w:val="single" w:sz="6" w:space="4" w:color="C7C7C7"/>
                                                <w:right w:val="none" w:sz="0" w:space="0" w:color="auto"/>
                                              </w:divBdr>
                                              <w:divsChild>
                                                <w:div w:id="5690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780541">
      <w:bodyDiv w:val="1"/>
      <w:marLeft w:val="0"/>
      <w:marRight w:val="0"/>
      <w:marTop w:val="0"/>
      <w:marBottom w:val="0"/>
      <w:divBdr>
        <w:top w:val="none" w:sz="0" w:space="0" w:color="auto"/>
        <w:left w:val="none" w:sz="0" w:space="0" w:color="auto"/>
        <w:bottom w:val="none" w:sz="0" w:space="0" w:color="auto"/>
        <w:right w:val="none" w:sz="0" w:space="0" w:color="auto"/>
      </w:divBdr>
      <w:divsChild>
        <w:div w:id="2130587047">
          <w:marLeft w:val="0"/>
          <w:marRight w:val="0"/>
          <w:marTop w:val="0"/>
          <w:marBottom w:val="0"/>
          <w:divBdr>
            <w:top w:val="none" w:sz="0" w:space="0" w:color="auto"/>
            <w:left w:val="none" w:sz="0" w:space="0" w:color="auto"/>
            <w:bottom w:val="none" w:sz="0" w:space="0" w:color="auto"/>
            <w:right w:val="none" w:sz="0" w:space="0" w:color="auto"/>
          </w:divBdr>
          <w:divsChild>
            <w:div w:id="1231768308">
              <w:marLeft w:val="0"/>
              <w:marRight w:val="0"/>
              <w:marTop w:val="0"/>
              <w:marBottom w:val="0"/>
              <w:divBdr>
                <w:top w:val="none" w:sz="0" w:space="0" w:color="auto"/>
                <w:left w:val="none" w:sz="0" w:space="0" w:color="auto"/>
                <w:bottom w:val="none" w:sz="0" w:space="0" w:color="auto"/>
                <w:right w:val="none" w:sz="0" w:space="0" w:color="auto"/>
              </w:divBdr>
              <w:divsChild>
                <w:div w:id="1886257567">
                  <w:marLeft w:val="0"/>
                  <w:marRight w:val="0"/>
                  <w:marTop w:val="100"/>
                  <w:marBottom w:val="100"/>
                  <w:divBdr>
                    <w:top w:val="none" w:sz="0" w:space="0" w:color="auto"/>
                    <w:left w:val="none" w:sz="0" w:space="0" w:color="auto"/>
                    <w:bottom w:val="none" w:sz="0" w:space="0" w:color="auto"/>
                    <w:right w:val="none" w:sz="0" w:space="0" w:color="auto"/>
                  </w:divBdr>
                  <w:divsChild>
                    <w:div w:id="2122872873">
                      <w:marLeft w:val="0"/>
                      <w:marRight w:val="0"/>
                      <w:marTop w:val="0"/>
                      <w:marBottom w:val="0"/>
                      <w:divBdr>
                        <w:top w:val="none" w:sz="0" w:space="0" w:color="auto"/>
                        <w:left w:val="none" w:sz="0" w:space="0" w:color="auto"/>
                        <w:bottom w:val="none" w:sz="0" w:space="0" w:color="auto"/>
                        <w:right w:val="none" w:sz="0" w:space="0" w:color="auto"/>
                      </w:divBdr>
                      <w:divsChild>
                        <w:div w:id="498156996">
                          <w:marLeft w:val="0"/>
                          <w:marRight w:val="0"/>
                          <w:marTop w:val="0"/>
                          <w:marBottom w:val="0"/>
                          <w:divBdr>
                            <w:top w:val="none" w:sz="0" w:space="0" w:color="auto"/>
                            <w:left w:val="none" w:sz="0" w:space="0" w:color="auto"/>
                            <w:bottom w:val="none" w:sz="0" w:space="0" w:color="auto"/>
                            <w:right w:val="none" w:sz="0" w:space="0" w:color="auto"/>
                          </w:divBdr>
                          <w:divsChild>
                            <w:div w:id="65228556">
                              <w:marLeft w:val="0"/>
                              <w:marRight w:val="0"/>
                              <w:marTop w:val="0"/>
                              <w:marBottom w:val="0"/>
                              <w:divBdr>
                                <w:top w:val="none" w:sz="0" w:space="0" w:color="auto"/>
                                <w:left w:val="none" w:sz="0" w:space="0" w:color="auto"/>
                                <w:bottom w:val="none" w:sz="0" w:space="0" w:color="auto"/>
                                <w:right w:val="none" w:sz="0" w:space="0" w:color="auto"/>
                              </w:divBdr>
                              <w:divsChild>
                                <w:div w:id="1004434470">
                                  <w:marLeft w:val="0"/>
                                  <w:marRight w:val="0"/>
                                  <w:marTop w:val="0"/>
                                  <w:marBottom w:val="0"/>
                                  <w:divBdr>
                                    <w:top w:val="none" w:sz="0" w:space="0" w:color="auto"/>
                                    <w:left w:val="none" w:sz="0" w:space="0" w:color="auto"/>
                                    <w:bottom w:val="none" w:sz="0" w:space="0" w:color="auto"/>
                                    <w:right w:val="none" w:sz="0" w:space="0" w:color="auto"/>
                                  </w:divBdr>
                                  <w:divsChild>
                                    <w:div w:id="1706786603">
                                      <w:marLeft w:val="0"/>
                                      <w:marRight w:val="0"/>
                                      <w:marTop w:val="0"/>
                                      <w:marBottom w:val="0"/>
                                      <w:divBdr>
                                        <w:top w:val="none" w:sz="0" w:space="0" w:color="auto"/>
                                        <w:left w:val="none" w:sz="0" w:space="0" w:color="auto"/>
                                        <w:bottom w:val="none" w:sz="0" w:space="0" w:color="auto"/>
                                        <w:right w:val="none" w:sz="0" w:space="0" w:color="auto"/>
                                      </w:divBdr>
                                      <w:divsChild>
                                        <w:div w:id="239366912">
                                          <w:marLeft w:val="150"/>
                                          <w:marRight w:val="150"/>
                                          <w:marTop w:val="0"/>
                                          <w:marBottom w:val="0"/>
                                          <w:divBdr>
                                            <w:top w:val="none" w:sz="0" w:space="0" w:color="auto"/>
                                            <w:left w:val="none" w:sz="0" w:space="0" w:color="auto"/>
                                            <w:bottom w:val="none" w:sz="0" w:space="0" w:color="auto"/>
                                            <w:right w:val="none" w:sz="0" w:space="0" w:color="auto"/>
                                          </w:divBdr>
                                          <w:divsChild>
                                            <w:div w:id="402264426">
                                              <w:marLeft w:val="0"/>
                                              <w:marRight w:val="0"/>
                                              <w:marTop w:val="150"/>
                                              <w:marBottom w:val="150"/>
                                              <w:divBdr>
                                                <w:top w:val="none" w:sz="0" w:space="0" w:color="auto"/>
                                                <w:left w:val="none" w:sz="0" w:space="0" w:color="auto"/>
                                                <w:bottom w:val="single" w:sz="6" w:space="4" w:color="C7C7C7"/>
                                                <w:right w:val="none" w:sz="0" w:space="0" w:color="auto"/>
                                              </w:divBdr>
                                              <w:divsChild>
                                                <w:div w:id="7426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826645">
      <w:bodyDiv w:val="1"/>
      <w:marLeft w:val="0"/>
      <w:marRight w:val="0"/>
      <w:marTop w:val="0"/>
      <w:marBottom w:val="0"/>
      <w:divBdr>
        <w:top w:val="none" w:sz="0" w:space="0" w:color="auto"/>
        <w:left w:val="none" w:sz="0" w:space="0" w:color="auto"/>
        <w:bottom w:val="none" w:sz="0" w:space="0" w:color="auto"/>
        <w:right w:val="none" w:sz="0" w:space="0" w:color="auto"/>
      </w:divBdr>
      <w:divsChild>
        <w:div w:id="2082747108">
          <w:marLeft w:val="0"/>
          <w:marRight w:val="0"/>
          <w:marTop w:val="0"/>
          <w:marBottom w:val="0"/>
          <w:divBdr>
            <w:top w:val="none" w:sz="0" w:space="0" w:color="auto"/>
            <w:left w:val="none" w:sz="0" w:space="0" w:color="auto"/>
            <w:bottom w:val="none" w:sz="0" w:space="0" w:color="auto"/>
            <w:right w:val="none" w:sz="0" w:space="0" w:color="auto"/>
          </w:divBdr>
          <w:divsChild>
            <w:div w:id="2030132390">
              <w:marLeft w:val="0"/>
              <w:marRight w:val="0"/>
              <w:marTop w:val="0"/>
              <w:marBottom w:val="0"/>
              <w:divBdr>
                <w:top w:val="none" w:sz="0" w:space="0" w:color="auto"/>
                <w:left w:val="none" w:sz="0" w:space="0" w:color="auto"/>
                <w:bottom w:val="none" w:sz="0" w:space="0" w:color="auto"/>
                <w:right w:val="none" w:sz="0" w:space="0" w:color="auto"/>
              </w:divBdr>
              <w:divsChild>
                <w:div w:id="1696808310">
                  <w:marLeft w:val="0"/>
                  <w:marRight w:val="0"/>
                  <w:marTop w:val="100"/>
                  <w:marBottom w:val="100"/>
                  <w:divBdr>
                    <w:top w:val="none" w:sz="0" w:space="0" w:color="auto"/>
                    <w:left w:val="none" w:sz="0" w:space="0" w:color="auto"/>
                    <w:bottom w:val="none" w:sz="0" w:space="0" w:color="auto"/>
                    <w:right w:val="none" w:sz="0" w:space="0" w:color="auto"/>
                  </w:divBdr>
                  <w:divsChild>
                    <w:div w:id="2044939192">
                      <w:marLeft w:val="0"/>
                      <w:marRight w:val="0"/>
                      <w:marTop w:val="0"/>
                      <w:marBottom w:val="0"/>
                      <w:divBdr>
                        <w:top w:val="none" w:sz="0" w:space="0" w:color="auto"/>
                        <w:left w:val="none" w:sz="0" w:space="0" w:color="auto"/>
                        <w:bottom w:val="none" w:sz="0" w:space="0" w:color="auto"/>
                        <w:right w:val="none" w:sz="0" w:space="0" w:color="auto"/>
                      </w:divBdr>
                      <w:divsChild>
                        <w:div w:id="1344280988">
                          <w:marLeft w:val="0"/>
                          <w:marRight w:val="0"/>
                          <w:marTop w:val="0"/>
                          <w:marBottom w:val="0"/>
                          <w:divBdr>
                            <w:top w:val="none" w:sz="0" w:space="0" w:color="auto"/>
                            <w:left w:val="none" w:sz="0" w:space="0" w:color="auto"/>
                            <w:bottom w:val="none" w:sz="0" w:space="0" w:color="auto"/>
                            <w:right w:val="none" w:sz="0" w:space="0" w:color="auto"/>
                          </w:divBdr>
                          <w:divsChild>
                            <w:div w:id="885483389">
                              <w:marLeft w:val="0"/>
                              <w:marRight w:val="0"/>
                              <w:marTop w:val="0"/>
                              <w:marBottom w:val="0"/>
                              <w:divBdr>
                                <w:top w:val="none" w:sz="0" w:space="0" w:color="auto"/>
                                <w:left w:val="none" w:sz="0" w:space="0" w:color="auto"/>
                                <w:bottom w:val="none" w:sz="0" w:space="0" w:color="auto"/>
                                <w:right w:val="none" w:sz="0" w:space="0" w:color="auto"/>
                              </w:divBdr>
                              <w:divsChild>
                                <w:div w:id="1904370740">
                                  <w:marLeft w:val="0"/>
                                  <w:marRight w:val="0"/>
                                  <w:marTop w:val="0"/>
                                  <w:marBottom w:val="0"/>
                                  <w:divBdr>
                                    <w:top w:val="none" w:sz="0" w:space="0" w:color="auto"/>
                                    <w:left w:val="none" w:sz="0" w:space="0" w:color="auto"/>
                                    <w:bottom w:val="none" w:sz="0" w:space="0" w:color="auto"/>
                                    <w:right w:val="none" w:sz="0" w:space="0" w:color="auto"/>
                                  </w:divBdr>
                                  <w:divsChild>
                                    <w:div w:id="615210917">
                                      <w:marLeft w:val="0"/>
                                      <w:marRight w:val="0"/>
                                      <w:marTop w:val="0"/>
                                      <w:marBottom w:val="0"/>
                                      <w:divBdr>
                                        <w:top w:val="none" w:sz="0" w:space="0" w:color="auto"/>
                                        <w:left w:val="none" w:sz="0" w:space="0" w:color="auto"/>
                                        <w:bottom w:val="none" w:sz="0" w:space="0" w:color="auto"/>
                                        <w:right w:val="none" w:sz="0" w:space="0" w:color="auto"/>
                                      </w:divBdr>
                                      <w:divsChild>
                                        <w:div w:id="681128708">
                                          <w:marLeft w:val="150"/>
                                          <w:marRight w:val="150"/>
                                          <w:marTop w:val="0"/>
                                          <w:marBottom w:val="0"/>
                                          <w:divBdr>
                                            <w:top w:val="none" w:sz="0" w:space="0" w:color="auto"/>
                                            <w:left w:val="none" w:sz="0" w:space="0" w:color="auto"/>
                                            <w:bottom w:val="none" w:sz="0" w:space="0" w:color="auto"/>
                                            <w:right w:val="none" w:sz="0" w:space="0" w:color="auto"/>
                                          </w:divBdr>
                                          <w:divsChild>
                                            <w:div w:id="1594781204">
                                              <w:marLeft w:val="0"/>
                                              <w:marRight w:val="0"/>
                                              <w:marTop w:val="150"/>
                                              <w:marBottom w:val="150"/>
                                              <w:divBdr>
                                                <w:top w:val="none" w:sz="0" w:space="0" w:color="auto"/>
                                                <w:left w:val="none" w:sz="0" w:space="0" w:color="auto"/>
                                                <w:bottom w:val="single" w:sz="6" w:space="4" w:color="C7C7C7"/>
                                                <w:right w:val="none" w:sz="0" w:space="0" w:color="auto"/>
                                              </w:divBdr>
                                              <w:divsChild>
                                                <w:div w:id="1480416749">
                                                  <w:marLeft w:val="0"/>
                                                  <w:marRight w:val="0"/>
                                                  <w:marTop w:val="0"/>
                                                  <w:marBottom w:val="0"/>
                                                  <w:divBdr>
                                                    <w:top w:val="none" w:sz="0" w:space="0" w:color="auto"/>
                                                    <w:left w:val="none" w:sz="0" w:space="0" w:color="auto"/>
                                                    <w:bottom w:val="none" w:sz="0" w:space="0" w:color="auto"/>
                                                    <w:right w:val="none" w:sz="0" w:space="0" w:color="auto"/>
                                                  </w:divBdr>
                                                  <w:divsChild>
                                                    <w:div w:id="11452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jbmr.2089" TargetMode="External"/><Relationship Id="rId13" Type="http://schemas.openxmlformats.org/officeDocument/2006/relationships/hyperlink" Target="http://dx.doi.org/10.1016/j.bone.2013.08.012" TargetMode="External"/><Relationship Id="rId18" Type="http://schemas.openxmlformats.org/officeDocument/2006/relationships/hyperlink" Target="http://www.bioquant.com/home/recent-bioquant-bone-biology-citations/recombinanthumanbonemorphogeneticprotein-2stimulatesboneformationduringinterfrontalsutureexpansioninrabbits" TargetMode="External"/><Relationship Id="rId26" Type="http://schemas.openxmlformats.org/officeDocument/2006/relationships/hyperlink" Target="http://link.springer.com/search?facet-author=%22Julia+Barsony%22" TargetMode="External"/><Relationship Id="rId39" Type="http://schemas.openxmlformats.org/officeDocument/2006/relationships/hyperlink" Target="http://www.thebonejournal.com/article/S8756-3282(13)00323-2/abstract" TargetMode="External"/><Relationship Id="rId3" Type="http://schemas.openxmlformats.org/officeDocument/2006/relationships/settings" Target="settings.xml"/><Relationship Id="rId21" Type="http://schemas.openxmlformats.org/officeDocument/2006/relationships/hyperlink" Target="http://dx.doi.org/10.1016/j.bone.2013.07.022" TargetMode="External"/><Relationship Id="rId34" Type="http://schemas.openxmlformats.org/officeDocument/2006/relationships/hyperlink" Target="http://link.springer.com/chapter/10.1007/978-1-4419-6661-2_10" TargetMode="External"/><Relationship Id="rId7" Type="http://schemas.openxmlformats.org/officeDocument/2006/relationships/hyperlink" Target="http://onlinelibrary.wiley.com/doi/10.1002/jbmr.1835/abstract" TargetMode="External"/><Relationship Id="rId12" Type="http://schemas.openxmlformats.org/officeDocument/2006/relationships/hyperlink" Target="http://dx.doi.org/10.1007/s00109-013-1068-3" TargetMode="External"/><Relationship Id="rId17" Type="http://schemas.openxmlformats.org/officeDocument/2006/relationships/hyperlink" Target="http://dx.doi.org/10.1007/s00223-013-9765-z" TargetMode="External"/><Relationship Id="rId25" Type="http://schemas.openxmlformats.org/officeDocument/2006/relationships/hyperlink" Target="http://dx.doi.org/10.1111/bph.12301" TargetMode="External"/><Relationship Id="rId33" Type="http://schemas.openxmlformats.org/officeDocument/2006/relationships/hyperlink" Target="http://onlinelibrary.wiley.com/doi/10.1002/jor.21386/abstract;jsessionid=030235819A786C1AD0E1F5CFB6F764E1.f02t02" TargetMode="External"/><Relationship Id="rId38" Type="http://schemas.openxmlformats.org/officeDocument/2006/relationships/hyperlink" Target="http://www.oarsijournal.com/article/S1063-4584(10)00033-6/abstract" TargetMode="External"/><Relationship Id="rId2" Type="http://schemas.openxmlformats.org/officeDocument/2006/relationships/styles" Target="styles.xml"/><Relationship Id="rId16" Type="http://schemas.openxmlformats.org/officeDocument/2006/relationships/hyperlink" Target="http://www.bioquant.com/home/recent-bioquant-bone-biology-citations/comparableeffectsofalendronateandstrontiumranelateonfemurinovariectomizedrats" TargetMode="External"/><Relationship Id="rId20" Type="http://schemas.openxmlformats.org/officeDocument/2006/relationships/hyperlink" Target="http://www.bioquant.com/home/recent-bioquant-bone-biology-citations/connexin43deficiencydesensitizesbonetotheeffectsofmechanicalunloadingthroughmodulationofbotharmsofboneremodeling" TargetMode="External"/><Relationship Id="rId29" Type="http://schemas.openxmlformats.org/officeDocument/2006/relationships/hyperlink" Target="http://link.springer.com/search?facet-author=%22Helen+Tam%2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iiarjournals.org/content/27/5/599.short" TargetMode="External"/><Relationship Id="rId24" Type="http://schemas.openxmlformats.org/officeDocument/2006/relationships/hyperlink" Target="http://www.bioquant.com/home/recent-bioquant-bone-biology-citations/treatmentwithresveratrolattenuatessublesionalbonelossinspinal-cord-injuredrats" TargetMode="External"/><Relationship Id="rId32" Type="http://schemas.openxmlformats.org/officeDocument/2006/relationships/hyperlink" Target="http://www.nature.com/aps/journal/v34/n3/full/aps2012167a.html" TargetMode="External"/><Relationship Id="rId37" Type="http://schemas.openxmlformats.org/officeDocument/2006/relationships/hyperlink" Target="http://link.springer.com/article/10.1007/s10856-013-4999-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016/j.ydbio.2013.08.003" TargetMode="External"/><Relationship Id="rId23" Type="http://schemas.openxmlformats.org/officeDocument/2006/relationships/hyperlink" Target="http://dx.doi.org/10.1002/jbmr.2049" TargetMode="External"/><Relationship Id="rId28" Type="http://schemas.openxmlformats.org/officeDocument/2006/relationships/hyperlink" Target="http://link.springer.com/search?facet-author=%22Qin+Xu%22" TargetMode="External"/><Relationship Id="rId36" Type="http://schemas.openxmlformats.org/officeDocument/2006/relationships/hyperlink" Target="http://www.jbiomech.com/article/S0021-9290(13)00228-5/abstract" TargetMode="External"/><Relationship Id="rId10" Type="http://schemas.openxmlformats.org/officeDocument/2006/relationships/hyperlink" Target="http://dx.doi.org/10.1007/s00198-013-2496-1" TargetMode="External"/><Relationship Id="rId19" Type="http://schemas.openxmlformats.org/officeDocument/2006/relationships/hyperlink" Target="http://dx.doi.org/10.1016/j.ajodo.2013.03.017" TargetMode="External"/><Relationship Id="rId31" Type="http://schemas.openxmlformats.org/officeDocument/2006/relationships/hyperlink" Target="http://www.arthroplastyjournal.org/article/S0883-5403(13)00107-1/abstract" TargetMode="External"/><Relationship Id="rId4" Type="http://schemas.openxmlformats.org/officeDocument/2006/relationships/webSettings" Target="webSettings.xml"/><Relationship Id="rId9" Type="http://schemas.openxmlformats.org/officeDocument/2006/relationships/hyperlink" Target="http://dx.doi.org/10.1007/s00586-013-2904-4" TargetMode="External"/><Relationship Id="rId14" Type="http://schemas.openxmlformats.org/officeDocument/2006/relationships/hyperlink" Target="http://www.bioquant.com/home/recent-bioquant-bone-biology-citations/inactivationoftgfbr2inosterix-creexpressingdentalmesenchymedisruptsmolarrootformation" TargetMode="External"/><Relationship Id="rId22" Type="http://schemas.openxmlformats.org/officeDocument/2006/relationships/hyperlink" Target="http://www.bioquant.com/home/recent-bioquant-bone-biology-citations/neonatalirondeficiencycausesabnormalphosphatemetabolismbyelevatingfgf23innormalandadhrmice" TargetMode="External"/><Relationship Id="rId27" Type="http://schemas.openxmlformats.org/officeDocument/2006/relationships/hyperlink" Target="http://link.springer.com/search?facet-author=%22Michaele+B.+Manigrasso%22" TargetMode="External"/><Relationship Id="rId30" Type="http://schemas.openxmlformats.org/officeDocument/2006/relationships/hyperlink" Target="http://link.springer.com/search?facet-author=%22Joseph+G.+Verbalis%22" TargetMode="External"/><Relationship Id="rId35" Type="http://schemas.openxmlformats.org/officeDocument/2006/relationships/hyperlink" Target="http://www.oarsijournal.com/article/S1063-4584(08)00323-3/abstrac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7279</Words>
  <Characters>41496</Characters>
  <Application>Microsoft Office Word</Application>
  <DocSecurity>0</DocSecurity>
  <PresentationFormat/>
  <Lines>345</Lines>
  <Paragraphs>97</Paragraphs>
  <Slides>0</Slides>
  <Notes>0</Notes>
  <HiddenSlides>0</HiddenSlides>
  <MMClips>0</MMClips>
  <ScaleCrop>false</ScaleCrop>
  <Company/>
  <LinksUpToDate>false</LinksUpToDate>
  <CharactersWithSpaces>48678</CharactersWithSpaces>
  <SharedDoc>false</SharedDoc>
  <HLinks>
    <vt:vector size="60" baseType="variant">
      <vt:variant>
        <vt:i4>720986</vt:i4>
      </vt:variant>
      <vt:variant>
        <vt:i4>27</vt:i4>
      </vt:variant>
      <vt:variant>
        <vt:i4>0</vt:i4>
      </vt:variant>
      <vt:variant>
        <vt:i4>5</vt:i4>
      </vt:variant>
      <vt:variant>
        <vt:lpwstr>http://onlinelibrary.wiley.com/doi/10.1002/jbmr.1835/abstract</vt:lpwstr>
      </vt:variant>
      <vt:variant>
        <vt:lpwstr/>
      </vt:variant>
      <vt:variant>
        <vt:i4>4259927</vt:i4>
      </vt:variant>
      <vt:variant>
        <vt:i4>24</vt:i4>
      </vt:variant>
      <vt:variant>
        <vt:i4>0</vt:i4>
      </vt:variant>
      <vt:variant>
        <vt:i4>5</vt:i4>
      </vt:variant>
      <vt:variant>
        <vt:lpwstr>http://www.thebonejournal.com/article/S8756-3282(13)00323-2/abstract</vt:lpwstr>
      </vt:variant>
      <vt:variant>
        <vt:lpwstr/>
      </vt:variant>
      <vt:variant>
        <vt:i4>2359328</vt:i4>
      </vt:variant>
      <vt:variant>
        <vt:i4>21</vt:i4>
      </vt:variant>
      <vt:variant>
        <vt:i4>0</vt:i4>
      </vt:variant>
      <vt:variant>
        <vt:i4>5</vt:i4>
      </vt:variant>
      <vt:variant>
        <vt:lpwstr>http://www.oarsijournal.com/article/S1063-4584(10)00033-6/abstract</vt:lpwstr>
      </vt:variant>
      <vt:variant>
        <vt:lpwstr/>
      </vt:variant>
      <vt:variant>
        <vt:i4>3211317</vt:i4>
      </vt:variant>
      <vt:variant>
        <vt:i4>18</vt:i4>
      </vt:variant>
      <vt:variant>
        <vt:i4>0</vt:i4>
      </vt:variant>
      <vt:variant>
        <vt:i4>5</vt:i4>
      </vt:variant>
      <vt:variant>
        <vt:lpwstr>http://link.springer.com/article/10.1007/s10856-013-4999-x</vt:lpwstr>
      </vt:variant>
      <vt:variant>
        <vt:lpwstr/>
      </vt:variant>
      <vt:variant>
        <vt:i4>2490408</vt:i4>
      </vt:variant>
      <vt:variant>
        <vt:i4>15</vt:i4>
      </vt:variant>
      <vt:variant>
        <vt:i4>0</vt:i4>
      </vt:variant>
      <vt:variant>
        <vt:i4>5</vt:i4>
      </vt:variant>
      <vt:variant>
        <vt:lpwstr>http://www.jbiomech.com/article/S0021-9290(13)00228-5/abstract</vt:lpwstr>
      </vt:variant>
      <vt:variant>
        <vt:lpwstr/>
      </vt:variant>
      <vt:variant>
        <vt:i4>2359342</vt:i4>
      </vt:variant>
      <vt:variant>
        <vt:i4>12</vt:i4>
      </vt:variant>
      <vt:variant>
        <vt:i4>0</vt:i4>
      </vt:variant>
      <vt:variant>
        <vt:i4>5</vt:i4>
      </vt:variant>
      <vt:variant>
        <vt:lpwstr>http://www.oarsijournal.com/article/S1063-4584(08)00323-3/abstract</vt:lpwstr>
      </vt:variant>
      <vt:variant>
        <vt:lpwstr/>
      </vt:variant>
      <vt:variant>
        <vt:i4>327787</vt:i4>
      </vt:variant>
      <vt:variant>
        <vt:i4>9</vt:i4>
      </vt:variant>
      <vt:variant>
        <vt:i4>0</vt:i4>
      </vt:variant>
      <vt:variant>
        <vt:i4>5</vt:i4>
      </vt:variant>
      <vt:variant>
        <vt:lpwstr>http://link.springer.com/chapter/10.1007/978-1-4419-6661-2_10</vt:lpwstr>
      </vt:variant>
      <vt:variant>
        <vt:lpwstr/>
      </vt:variant>
      <vt:variant>
        <vt:i4>5308511</vt:i4>
      </vt:variant>
      <vt:variant>
        <vt:i4>6</vt:i4>
      </vt:variant>
      <vt:variant>
        <vt:i4>0</vt:i4>
      </vt:variant>
      <vt:variant>
        <vt:i4>5</vt:i4>
      </vt:variant>
      <vt:variant>
        <vt:lpwstr>http://onlinelibrary.wiley.com/doi/10.1002/jor.21386/abstract;jsessionid=030235819A786C1AD0E1F5CFB6F764E1.f02t02</vt:lpwstr>
      </vt:variant>
      <vt:variant>
        <vt:lpwstr/>
      </vt:variant>
      <vt:variant>
        <vt:i4>6815864</vt:i4>
      </vt:variant>
      <vt:variant>
        <vt:i4>3</vt:i4>
      </vt:variant>
      <vt:variant>
        <vt:i4>0</vt:i4>
      </vt:variant>
      <vt:variant>
        <vt:i4>5</vt:i4>
      </vt:variant>
      <vt:variant>
        <vt:lpwstr>http://www.nature.com/aps/journal/v34/n3/full/aps2012167a.html</vt:lpwstr>
      </vt:variant>
      <vt:variant>
        <vt:lpwstr/>
      </vt:variant>
      <vt:variant>
        <vt:i4>5046363</vt:i4>
      </vt:variant>
      <vt:variant>
        <vt:i4>0</vt:i4>
      </vt:variant>
      <vt:variant>
        <vt:i4>0</vt:i4>
      </vt:variant>
      <vt:variant>
        <vt:i4>5</vt:i4>
      </vt:variant>
      <vt:variant>
        <vt:lpwstr>http://www.arthroplastyjournal.org/article/S0883-5403(13)00107-1/abstract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软骨研究</dc:title>
  <dc:creator>Administrator</dc:creator>
  <cp:lastModifiedBy>Ron</cp:lastModifiedBy>
  <cp:revision>4</cp:revision>
  <dcterms:created xsi:type="dcterms:W3CDTF">2013-11-04T04:07:00Z</dcterms:created>
  <dcterms:modified xsi:type="dcterms:W3CDTF">2013-11-04T09:46:00Z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